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2F5A0">
      <w:pPr>
        <w:widowControl/>
        <w:jc w:val="center"/>
        <w:rPr>
          <w:rFonts w:ascii="黑体" w:hAnsi="黑体" w:eastAsia="黑体" w:cs="宋体"/>
          <w:b/>
          <w:bCs/>
          <w:color w:val="000000"/>
          <w:kern w:val="0"/>
          <w:sz w:val="28"/>
          <w:szCs w:val="28"/>
          <w:lang w:bidi="ar"/>
        </w:rPr>
      </w:pPr>
      <w:r>
        <w:rPr>
          <w:rFonts w:hint="eastAsia" w:ascii="黑体" w:hAnsi="黑体" w:eastAsia="黑体" w:cs="宋体"/>
          <w:b/>
          <w:bCs/>
          <w:color w:val="000000"/>
          <w:kern w:val="0"/>
          <w:sz w:val="28"/>
          <w:szCs w:val="28"/>
          <w:lang w:bidi="ar"/>
        </w:rPr>
        <w:t>食品与生物工程学院2024级本科生转专业工作实施方案</w:t>
      </w:r>
    </w:p>
    <w:p w14:paraId="70559ECA">
      <w:pPr>
        <w:widowControl/>
        <w:shd w:val="clear" w:color="auto" w:fill="FFFFFF"/>
        <w:spacing w:before="312" w:beforeLines="100"/>
        <w:ind w:firstLine="556"/>
        <w:outlineLvl w:val="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根据《西华大学全日制本科学生转专业管理办法（修订）》（西华行字﹝2023﹞182号）的规定和《关于开展2024级本科生转专业工作的通知》要求，学院转专业工作考核小组研究决定，特制定本学院本科生转专业工作实施细则。 </w:t>
      </w:r>
    </w:p>
    <w:p w14:paraId="2B9C25D1">
      <w:pPr>
        <w:pStyle w:val="4"/>
        <w:shd w:val="clear" w:color="auto" w:fill="FFFFFF"/>
        <w:spacing w:before="0" w:beforeAutospacing="0" w:after="0" w:afterAutospacing="0"/>
        <w:ind w:firstLine="600"/>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一、接收计划 </w:t>
      </w:r>
    </w:p>
    <w:tbl>
      <w:tblPr>
        <w:tblStyle w:val="6"/>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4"/>
        <w:gridCol w:w="2295"/>
        <w:gridCol w:w="1564"/>
        <w:gridCol w:w="3285"/>
      </w:tblGrid>
      <w:tr w14:paraId="12068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074" w:type="dxa"/>
            <w:vAlign w:val="center"/>
          </w:tcPr>
          <w:p w14:paraId="7FE77F52">
            <w:pPr>
              <w:pStyle w:val="4"/>
              <w:shd w:val="clear" w:color="auto" w:fill="FFFFFF"/>
              <w:spacing w:before="0" w:beforeAutospacing="0" w:after="0" w:afterAutospacing="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年级</w:t>
            </w:r>
          </w:p>
        </w:tc>
        <w:tc>
          <w:tcPr>
            <w:tcW w:w="2295" w:type="dxa"/>
            <w:vAlign w:val="center"/>
          </w:tcPr>
          <w:p w14:paraId="7E9D9BD3">
            <w:pPr>
              <w:pStyle w:val="4"/>
              <w:shd w:val="clear" w:color="auto" w:fill="FFFFFF"/>
              <w:spacing w:before="0" w:beforeAutospacing="0" w:after="0" w:afterAutospacing="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专 业</w:t>
            </w:r>
          </w:p>
        </w:tc>
        <w:tc>
          <w:tcPr>
            <w:tcW w:w="1564" w:type="dxa"/>
            <w:vAlign w:val="center"/>
          </w:tcPr>
          <w:p w14:paraId="19770713">
            <w:pPr>
              <w:pStyle w:val="4"/>
              <w:shd w:val="clear" w:color="auto" w:fill="FFFFFF"/>
              <w:spacing w:before="0" w:beforeAutospacing="0" w:after="0" w:afterAutospacing="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拟接收学生数上限</w:t>
            </w:r>
          </w:p>
        </w:tc>
        <w:tc>
          <w:tcPr>
            <w:tcW w:w="3285" w:type="dxa"/>
            <w:vAlign w:val="center"/>
          </w:tcPr>
          <w:p w14:paraId="087D1780">
            <w:pPr>
              <w:pStyle w:val="4"/>
              <w:shd w:val="clear" w:color="auto" w:fill="FFFFFF"/>
              <w:spacing w:before="0" w:beforeAutospacing="0" w:after="0" w:afterAutospacing="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拟接收学生数占该专业当级在校生人数百分比</w:t>
            </w:r>
          </w:p>
        </w:tc>
      </w:tr>
      <w:tr w14:paraId="4FE44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4" w:type="dxa"/>
            <w:shd w:val="clear" w:color="auto" w:fill="auto"/>
            <w:vAlign w:val="top"/>
          </w:tcPr>
          <w:p w14:paraId="1EA6D4BE">
            <w:pPr>
              <w:pStyle w:val="4"/>
              <w:shd w:val="clear" w:color="auto" w:fill="FFFFFF"/>
              <w:spacing w:before="0" w:beforeAutospacing="0" w:after="0" w:afterAutospacing="0"/>
              <w:jc w:val="center"/>
              <w:rPr>
                <w:rFonts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2024</w:t>
            </w:r>
          </w:p>
        </w:tc>
        <w:tc>
          <w:tcPr>
            <w:tcW w:w="2295" w:type="dxa"/>
            <w:shd w:val="clear" w:color="auto" w:fill="auto"/>
            <w:vAlign w:val="bottom"/>
          </w:tcPr>
          <w:p w14:paraId="72E1C070">
            <w:pPr>
              <w:pStyle w:val="4"/>
              <w:shd w:val="clear" w:color="auto" w:fill="FFFFFF"/>
              <w:spacing w:before="0" w:beforeAutospacing="0" w:after="0" w:afterAutospacing="0"/>
              <w:jc w:val="center"/>
              <w:rPr>
                <w:rFonts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食品科学与工程</w:t>
            </w:r>
          </w:p>
        </w:tc>
        <w:tc>
          <w:tcPr>
            <w:tcW w:w="1564" w:type="dxa"/>
            <w:shd w:val="clear" w:color="auto" w:fill="auto"/>
            <w:vAlign w:val="bottom"/>
          </w:tcPr>
          <w:p w14:paraId="4FD335EE">
            <w:pPr>
              <w:pStyle w:val="4"/>
              <w:shd w:val="clear" w:color="auto" w:fill="FFFFFF"/>
              <w:spacing w:before="0" w:beforeAutospacing="0" w:after="0" w:afterAutospacing="0"/>
              <w:jc w:val="center"/>
              <w:rPr>
                <w:rFonts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22</w:t>
            </w:r>
          </w:p>
        </w:tc>
        <w:tc>
          <w:tcPr>
            <w:tcW w:w="3285" w:type="dxa"/>
            <w:shd w:val="clear" w:color="auto" w:fill="auto"/>
            <w:vAlign w:val="top"/>
          </w:tcPr>
          <w:p w14:paraId="576559D9">
            <w:pPr>
              <w:pStyle w:val="4"/>
              <w:shd w:val="clear" w:color="auto" w:fill="FFFFFF"/>
              <w:spacing w:before="0" w:beforeAutospacing="0" w:after="0" w:afterAutospacing="0"/>
              <w:jc w:val="center"/>
              <w:rPr>
                <w:rFonts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24.7%</w:t>
            </w:r>
          </w:p>
        </w:tc>
      </w:tr>
      <w:tr w14:paraId="7313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4" w:type="dxa"/>
            <w:shd w:val="clear" w:color="auto" w:fill="auto"/>
            <w:vAlign w:val="top"/>
          </w:tcPr>
          <w:p w14:paraId="0CDA2247">
            <w:pPr>
              <w:pStyle w:val="4"/>
              <w:shd w:val="clear" w:color="auto" w:fill="FFFFFF"/>
              <w:spacing w:before="0" w:beforeAutospacing="0" w:after="0" w:afterAutospacing="0"/>
              <w:jc w:val="center"/>
              <w:rPr>
                <w:rFonts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2024</w:t>
            </w:r>
          </w:p>
        </w:tc>
        <w:tc>
          <w:tcPr>
            <w:tcW w:w="2295" w:type="dxa"/>
            <w:shd w:val="clear" w:color="auto" w:fill="auto"/>
            <w:vAlign w:val="bottom"/>
          </w:tcPr>
          <w:p w14:paraId="2D8C5D5B">
            <w:pPr>
              <w:pStyle w:val="4"/>
              <w:shd w:val="clear" w:color="auto" w:fill="FFFFFF"/>
              <w:spacing w:before="0" w:beforeAutospacing="0" w:after="0" w:afterAutospacing="0"/>
              <w:jc w:val="center"/>
              <w:rPr>
                <w:rFonts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食品质量与安全</w:t>
            </w:r>
          </w:p>
        </w:tc>
        <w:tc>
          <w:tcPr>
            <w:tcW w:w="1564" w:type="dxa"/>
            <w:shd w:val="clear" w:color="auto" w:fill="auto"/>
            <w:vAlign w:val="bottom"/>
          </w:tcPr>
          <w:p w14:paraId="2AF5BBC9">
            <w:pPr>
              <w:pStyle w:val="4"/>
              <w:shd w:val="clear" w:color="auto" w:fill="FFFFFF"/>
              <w:spacing w:before="0" w:beforeAutospacing="0" w:after="0" w:afterAutospacing="0"/>
              <w:jc w:val="center"/>
              <w:rPr>
                <w:rFonts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w:t>
            </w:r>
          </w:p>
        </w:tc>
        <w:tc>
          <w:tcPr>
            <w:tcW w:w="3285" w:type="dxa"/>
            <w:shd w:val="clear" w:color="auto" w:fill="auto"/>
            <w:vAlign w:val="top"/>
          </w:tcPr>
          <w:p w14:paraId="23FD9153">
            <w:pPr>
              <w:pStyle w:val="4"/>
              <w:shd w:val="clear" w:color="auto" w:fill="FFFFFF"/>
              <w:spacing w:before="0" w:beforeAutospacing="0" w:after="0" w:afterAutospacing="0"/>
              <w:jc w:val="center"/>
              <w:rPr>
                <w:rFonts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25.0%</w:t>
            </w:r>
          </w:p>
        </w:tc>
      </w:tr>
      <w:tr w14:paraId="3B33A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4" w:type="dxa"/>
            <w:shd w:val="clear" w:color="auto" w:fill="auto"/>
            <w:vAlign w:val="top"/>
          </w:tcPr>
          <w:p w14:paraId="35BD34C3">
            <w:pPr>
              <w:pStyle w:val="4"/>
              <w:shd w:val="clear" w:color="auto" w:fill="FFFFFF"/>
              <w:spacing w:before="0" w:beforeAutospacing="0" w:after="0" w:afterAutospacing="0"/>
              <w:jc w:val="center"/>
              <w:rPr>
                <w:rFonts w:hint="eastAsia"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2024</w:t>
            </w:r>
          </w:p>
        </w:tc>
        <w:tc>
          <w:tcPr>
            <w:tcW w:w="2295" w:type="dxa"/>
            <w:shd w:val="clear" w:color="auto" w:fill="auto"/>
            <w:vAlign w:val="bottom"/>
          </w:tcPr>
          <w:p w14:paraId="659974CE">
            <w:pPr>
              <w:pStyle w:val="4"/>
              <w:shd w:val="clear" w:color="auto" w:fill="FFFFFF"/>
              <w:spacing w:before="0" w:beforeAutospacing="0" w:after="0" w:afterAutospacing="0"/>
              <w:jc w:val="center"/>
              <w:rPr>
                <w:rFonts w:hint="eastAsia"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生物工程</w:t>
            </w:r>
          </w:p>
        </w:tc>
        <w:tc>
          <w:tcPr>
            <w:tcW w:w="1564" w:type="dxa"/>
            <w:shd w:val="clear" w:color="auto" w:fill="auto"/>
            <w:vAlign w:val="bottom"/>
          </w:tcPr>
          <w:p w14:paraId="294989D8">
            <w:pPr>
              <w:pStyle w:val="4"/>
              <w:shd w:val="clear" w:color="auto" w:fill="FFFFFF"/>
              <w:spacing w:before="0" w:beforeAutospacing="0" w:after="0" w:afterAutospacing="0"/>
              <w:jc w:val="center"/>
              <w:rPr>
                <w:rFonts w:hint="eastAsia"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w:t>
            </w:r>
          </w:p>
        </w:tc>
        <w:tc>
          <w:tcPr>
            <w:tcW w:w="3285" w:type="dxa"/>
            <w:shd w:val="clear" w:color="auto" w:fill="auto"/>
            <w:vAlign w:val="top"/>
          </w:tcPr>
          <w:p w14:paraId="4B35406A">
            <w:pPr>
              <w:pStyle w:val="4"/>
              <w:shd w:val="clear" w:color="auto" w:fill="FFFFFF"/>
              <w:spacing w:before="0" w:beforeAutospacing="0" w:after="0" w:afterAutospacing="0"/>
              <w:jc w:val="center"/>
              <w:rPr>
                <w:rFonts w:hint="eastAsia"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25.0%</w:t>
            </w:r>
          </w:p>
        </w:tc>
      </w:tr>
      <w:tr w14:paraId="10422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4" w:type="dxa"/>
          </w:tcPr>
          <w:p w14:paraId="637D8249">
            <w:pPr>
              <w:pStyle w:val="4"/>
              <w:shd w:val="clear" w:color="auto" w:fill="FFFFFF"/>
              <w:spacing w:before="0" w:beforeAutospacing="0" w:after="0" w:afterAutospacing="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2024</w:t>
            </w:r>
          </w:p>
        </w:tc>
        <w:tc>
          <w:tcPr>
            <w:tcW w:w="2295" w:type="dxa"/>
            <w:vAlign w:val="bottom"/>
          </w:tcPr>
          <w:p w14:paraId="7DCD5E24">
            <w:pPr>
              <w:pStyle w:val="4"/>
              <w:shd w:val="clear" w:color="auto" w:fill="FFFFFF"/>
              <w:spacing w:before="0" w:beforeAutospacing="0" w:after="0" w:afterAutospacing="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制药工程</w:t>
            </w:r>
          </w:p>
        </w:tc>
        <w:tc>
          <w:tcPr>
            <w:tcW w:w="1564" w:type="dxa"/>
            <w:vAlign w:val="bottom"/>
          </w:tcPr>
          <w:p w14:paraId="4BDBFE25">
            <w:pPr>
              <w:pStyle w:val="4"/>
              <w:shd w:val="clear" w:color="auto" w:fill="FFFFFF"/>
              <w:spacing w:before="0" w:beforeAutospacing="0" w:after="0" w:afterAutospacing="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w:t>
            </w:r>
          </w:p>
        </w:tc>
        <w:tc>
          <w:tcPr>
            <w:tcW w:w="3285" w:type="dxa"/>
          </w:tcPr>
          <w:p w14:paraId="4E4507E3">
            <w:pPr>
              <w:pStyle w:val="4"/>
              <w:shd w:val="clear" w:color="auto" w:fill="FFFFFF"/>
              <w:spacing w:before="0" w:beforeAutospacing="0" w:after="0" w:afterAutospacing="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25.0%</w:t>
            </w:r>
          </w:p>
        </w:tc>
      </w:tr>
    </w:tbl>
    <w:p w14:paraId="4D9A7614">
      <w:pPr>
        <w:pStyle w:val="4"/>
        <w:shd w:val="clear" w:color="auto" w:fill="FFFFFF"/>
        <w:spacing w:before="156" w:beforeLines="50" w:beforeAutospacing="0" w:after="0" w:afterAutospacing="0"/>
        <w:ind w:firstLine="562" w:firstLineChars="200"/>
        <w:jc w:val="both"/>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二、申请条件 </w:t>
      </w:r>
    </w:p>
    <w:p w14:paraId="7A68FC35">
      <w:pPr>
        <w:pStyle w:val="4"/>
        <w:shd w:val="clear" w:color="auto" w:fill="FFFFFF"/>
        <w:spacing w:before="156" w:beforeLines="50" w:beforeAutospacing="0" w:after="0" w:afterAutospacing="0"/>
        <w:ind w:firstLine="560" w:firstLineChars="200"/>
        <w:jc w:val="both"/>
        <w:rPr>
          <w:rFonts w:ascii="仿宋" w:hAnsi="仿宋" w:eastAsia="仿宋" w:cs="仿宋"/>
          <w:color w:val="000000" w:themeColor="text1"/>
          <w:kern w:val="2"/>
          <w:sz w:val="28"/>
          <w:szCs w:val="28"/>
          <w14:textFill>
            <w14:solidFill>
              <w14:schemeClr w14:val="tx1"/>
            </w14:solidFill>
          </w14:textFill>
        </w:rPr>
      </w:pPr>
      <w:r>
        <w:rPr>
          <w:rFonts w:ascii="仿宋" w:hAnsi="仿宋" w:eastAsia="仿宋" w:cs="仿宋"/>
          <w:color w:val="000000" w:themeColor="text1"/>
          <w:kern w:val="2"/>
          <w:sz w:val="28"/>
          <w:szCs w:val="28"/>
          <w14:textFill>
            <w14:solidFill>
              <w14:schemeClr w14:val="tx1"/>
            </w14:solidFill>
          </w14:textFill>
        </w:rPr>
        <w:t>1.</w:t>
      </w:r>
      <w:r>
        <w:rPr>
          <w:rFonts w:hint="eastAsia" w:ascii="仿宋" w:hAnsi="仿宋" w:eastAsia="仿宋" w:cs="仿宋"/>
          <w:color w:val="000000" w:themeColor="text1"/>
          <w:kern w:val="2"/>
          <w:sz w:val="28"/>
          <w:szCs w:val="28"/>
          <w14:textFill>
            <w14:solidFill>
              <w14:schemeClr w14:val="tx1"/>
            </w14:solidFill>
          </w14:textFill>
        </w:rPr>
        <w:t>符合《西华大学全日制本科学生转专业管理办法（修订）（西华行字﹝2023﹞182 号）》所规定的转专业类别与资格条件。</w:t>
      </w:r>
    </w:p>
    <w:p w14:paraId="0035A0BB">
      <w:pPr>
        <w:pStyle w:val="4"/>
        <w:shd w:val="clear" w:color="auto" w:fill="FFFFFF"/>
        <w:spacing w:before="156" w:beforeLines="50" w:beforeAutospacing="0" w:after="0" w:afterAutospacing="0"/>
        <w:ind w:firstLine="560" w:firstLineChars="200"/>
        <w:jc w:val="both"/>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2</w:t>
      </w:r>
      <w:r>
        <w:rPr>
          <w:rFonts w:ascii="仿宋" w:hAnsi="仿宋" w:eastAsia="仿宋" w:cs="仿宋"/>
          <w:color w:val="000000" w:themeColor="text1"/>
          <w:kern w:val="2"/>
          <w:sz w:val="28"/>
          <w:szCs w:val="28"/>
          <w14:textFill>
            <w14:solidFill>
              <w14:schemeClr w14:val="tx1"/>
            </w14:solidFill>
          </w14:textFill>
        </w:rPr>
        <w:t>.</w:t>
      </w:r>
      <w:r>
        <w:rPr>
          <w:rFonts w:hint="eastAsia" w:ascii="仿宋" w:hAnsi="仿宋" w:eastAsia="仿宋" w:cs="仿宋"/>
          <w:color w:val="000000" w:themeColor="text1"/>
          <w:kern w:val="2"/>
          <w:sz w:val="28"/>
          <w:szCs w:val="28"/>
          <w14:textFill>
            <w14:solidFill>
              <w14:schemeClr w14:val="tx1"/>
            </w14:solidFill>
          </w14:textFill>
        </w:rPr>
        <w:t>普通高等学校招生全国统一考试科目应包含化学。</w:t>
      </w:r>
    </w:p>
    <w:p w14:paraId="2F572E79">
      <w:pPr>
        <w:pStyle w:val="4"/>
        <w:shd w:val="clear" w:color="auto" w:fill="FFFFFF"/>
        <w:spacing w:before="156" w:beforeLines="50" w:beforeAutospacing="0" w:after="0" w:afterAutospacing="0"/>
        <w:ind w:firstLine="560" w:firstLineChars="200"/>
        <w:jc w:val="both"/>
        <w:rPr>
          <w:rFonts w:hint="eastAsia" w:ascii="仿宋" w:hAnsi="仿宋" w:eastAsia="仿宋" w:cs="仿宋"/>
          <w:color w:val="000000" w:themeColor="text1"/>
          <w:kern w:val="2"/>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3.根据《普通高等学校招生体检工作指导意见》，所有专业均需色觉检查正常。</w:t>
      </w:r>
    </w:p>
    <w:p w14:paraId="16D2FFCF">
      <w:pPr>
        <w:pStyle w:val="4"/>
        <w:shd w:val="clear" w:color="auto" w:fill="FFFFFF"/>
        <w:spacing w:before="0" w:beforeAutospacing="0" w:after="0" w:afterAutospacing="0"/>
        <w:ind w:firstLine="600"/>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三、 考核办法与选拔原则</w:t>
      </w:r>
    </w:p>
    <w:p w14:paraId="107163BF">
      <w:pPr>
        <w:pStyle w:val="4"/>
        <w:shd w:val="clear" w:color="auto" w:fill="FFFFFF"/>
        <w:spacing w:before="0" w:beforeAutospacing="0" w:after="0" w:afterAutospacing="0"/>
        <w:ind w:firstLine="600"/>
        <w:jc w:val="both"/>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符合转入条件的学生将按照在其本年级本专业的</w:t>
      </w:r>
      <w:r>
        <w:rPr>
          <w:rFonts w:hint="eastAsia" w:ascii="仿宋" w:hAnsi="仿宋" w:eastAsia="仿宋" w:cs="仿宋"/>
          <w:color w:val="000000" w:themeColor="text1"/>
          <w:kern w:val="2"/>
          <w:sz w:val="28"/>
          <w:szCs w:val="28"/>
          <w14:textFill>
            <w14:solidFill>
              <w14:schemeClr w14:val="tx1"/>
            </w14:solidFill>
          </w14:textFill>
        </w:rPr>
        <w:t>加权</w:t>
      </w:r>
      <w:r>
        <w:rPr>
          <w:rFonts w:hint="eastAsia" w:ascii="仿宋" w:hAnsi="仿宋" w:eastAsia="仿宋" w:cs="仿宋"/>
          <w:color w:val="000000" w:themeColor="text1"/>
          <w:sz w:val="28"/>
          <w:szCs w:val="28"/>
          <w14:textFill>
            <w14:solidFill>
              <w14:schemeClr w14:val="tx1"/>
            </w14:solidFill>
          </w14:textFill>
        </w:rPr>
        <w:t>平均学分绩点排名百分比从高到低录取。学生学业成绩的计算办法、分值分配和权重系数参照《西华大学学生综合素质测评办法》中平均学分绩点的计算方法。</w:t>
      </w:r>
    </w:p>
    <w:p w14:paraId="78835B63">
      <w:pPr>
        <w:pStyle w:val="4"/>
        <w:shd w:val="clear" w:color="auto" w:fill="FFFFFF"/>
        <w:spacing w:before="0" w:beforeAutospacing="0" w:after="0" w:afterAutospacing="0"/>
        <w:ind w:firstLine="600"/>
        <w:jc w:val="both"/>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拟转入学生填写《西华大学学生转专业审批表》、成绩单（</w:t>
      </w:r>
      <w:r>
        <w:rPr>
          <w:rFonts w:hint="eastAsia" w:ascii="仿宋" w:hAnsi="仿宋" w:eastAsia="仿宋" w:cs="仿宋"/>
          <w:color w:val="000000" w:themeColor="text1"/>
          <w:kern w:val="2"/>
          <w:sz w:val="28"/>
          <w:szCs w:val="28"/>
          <w14:textFill>
            <w14:solidFill>
              <w14:schemeClr w14:val="tx1"/>
            </w14:solidFill>
          </w14:textFill>
        </w:rPr>
        <w:t>加权</w:t>
      </w:r>
      <w:r>
        <w:rPr>
          <w:rFonts w:hint="eastAsia" w:ascii="仿宋" w:hAnsi="仿宋" w:eastAsia="仿宋" w:cs="仿宋"/>
          <w:color w:val="000000" w:themeColor="text1"/>
          <w:sz w:val="28"/>
          <w:szCs w:val="28"/>
          <w14:textFill>
            <w14:solidFill>
              <w14:schemeClr w14:val="tx1"/>
            </w14:solidFill>
          </w14:textFill>
        </w:rPr>
        <w:t>平均学分绩点排名和</w:t>
      </w:r>
      <w:r>
        <w:rPr>
          <w:rFonts w:hint="eastAsia" w:ascii="仿宋" w:hAnsi="仿宋" w:eastAsia="仿宋" w:cs="仿宋"/>
          <w:color w:val="000000" w:themeColor="text1"/>
          <w:kern w:val="2"/>
          <w:sz w:val="28"/>
          <w:szCs w:val="28"/>
          <w14:textFill>
            <w14:solidFill>
              <w14:schemeClr w14:val="tx1"/>
            </w14:solidFill>
          </w14:textFill>
        </w:rPr>
        <w:t>加权</w:t>
      </w:r>
      <w:r>
        <w:rPr>
          <w:rFonts w:hint="eastAsia" w:ascii="仿宋" w:hAnsi="仿宋" w:eastAsia="仿宋" w:cs="仿宋"/>
          <w:color w:val="000000" w:themeColor="text1"/>
          <w:sz w:val="28"/>
          <w:szCs w:val="28"/>
          <w14:textFill>
            <w14:solidFill>
              <w14:schemeClr w14:val="tx1"/>
            </w14:solidFill>
          </w14:textFill>
        </w:rPr>
        <w:t>平均学分绩点排名</w:t>
      </w:r>
      <w:bookmarkStart w:id="0" w:name="_GoBack"/>
      <w:bookmarkEnd w:id="0"/>
      <w:r>
        <w:rPr>
          <w:rFonts w:hint="eastAsia" w:ascii="仿宋" w:hAnsi="仿宋" w:eastAsia="仿宋" w:cs="仿宋"/>
          <w:color w:val="000000" w:themeColor="text1"/>
          <w:sz w:val="28"/>
          <w:szCs w:val="28"/>
          <w14:textFill>
            <w14:solidFill>
              <w14:schemeClr w14:val="tx1"/>
            </w14:solidFill>
          </w14:textFill>
        </w:rPr>
        <w:t>百分比证明）</w:t>
      </w:r>
      <w:r>
        <w:rPr>
          <w:rFonts w:hint="eastAsia" w:ascii="仿宋" w:hAnsi="仿宋" w:eastAsia="仿宋" w:cs="仿宋"/>
          <w:color w:val="000000" w:themeColor="text1"/>
          <w:sz w:val="28"/>
          <w:szCs w:val="28"/>
          <w:lang w:eastAsia="zh-CN"/>
          <w14:textFill>
            <w14:solidFill>
              <w14:schemeClr w14:val="tx1"/>
            </w14:solidFill>
          </w14:textFill>
        </w:rPr>
        <w:t>（盖转出学院章）</w:t>
      </w:r>
      <w:r>
        <w:rPr>
          <w:rFonts w:hint="eastAsia" w:ascii="仿宋" w:hAnsi="仿宋" w:eastAsia="仿宋" w:cs="仿宋"/>
          <w:color w:val="000000" w:themeColor="text1"/>
          <w:sz w:val="28"/>
          <w:szCs w:val="28"/>
          <w14:textFill>
            <w14:solidFill>
              <w14:schemeClr w14:val="tx1"/>
            </w14:solidFill>
          </w14:textFill>
        </w:rPr>
        <w:t>、高考化学成绩证明</w:t>
      </w:r>
      <w:r>
        <w:rPr>
          <w:rFonts w:hint="eastAsia" w:ascii="仿宋" w:hAnsi="仿宋" w:eastAsia="仿宋" w:cs="仿宋"/>
          <w:color w:val="000000" w:themeColor="text1"/>
          <w:sz w:val="28"/>
          <w:szCs w:val="28"/>
          <w:lang w:val="en-US" w:eastAsia="zh-CN"/>
          <w14:textFill>
            <w14:solidFill>
              <w14:schemeClr w14:val="tx1"/>
            </w14:solidFill>
          </w14:textFill>
        </w:rPr>
        <w:t>(盖转出学院章)、提供色觉检查证明（三甲医院或西华大学医院）</w:t>
      </w:r>
      <w:r>
        <w:rPr>
          <w:rFonts w:hint="eastAsia" w:ascii="仿宋" w:hAnsi="仿宋" w:eastAsia="仿宋" w:cs="仿宋"/>
          <w:color w:val="000000" w:themeColor="text1"/>
          <w:sz w:val="28"/>
          <w:szCs w:val="28"/>
          <w14:textFill>
            <w14:solidFill>
              <w14:schemeClr w14:val="tx1"/>
            </w14:solidFill>
          </w14:textFill>
        </w:rPr>
        <w:t>于4月30日前交到食品与生物工程学院教学办（5D-314-1）。联系人：邱老师、刘老师；联系电话：87721520。</w:t>
      </w:r>
    </w:p>
    <w:p w14:paraId="4946FA55">
      <w:pPr>
        <w:pStyle w:val="4"/>
        <w:numPr>
          <w:ilvl w:val="0"/>
          <w:numId w:val="1"/>
        </w:numPr>
        <w:shd w:val="clear" w:color="auto" w:fill="FFFFFF"/>
        <w:spacing w:before="0" w:beforeAutospacing="0" w:after="0" w:afterAutospacing="0"/>
        <w:ind w:firstLine="600"/>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学院公示</w:t>
      </w:r>
    </w:p>
    <w:p w14:paraId="167C0FCA">
      <w:pPr>
        <w:pStyle w:val="4"/>
        <w:shd w:val="clear" w:color="auto" w:fill="FFFFFF"/>
        <w:spacing w:before="0" w:beforeAutospacing="0" w:after="0" w:afterAutospacing="0"/>
        <w:ind w:firstLine="560" w:firstLineChars="200"/>
        <w:jc w:val="both"/>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拟接收名单经食品与生物工程学院转专业工作考核小组审核后在学院网站公示，公示时间为5个工作日。公示期内自愿放弃转专业的，学院可根据考核办法依次进行补录。经学院公示无异议后，将拟接收学生名单报教务处。</w:t>
      </w:r>
    </w:p>
    <w:p w14:paraId="5D8C2A05">
      <w:pPr>
        <w:pStyle w:val="4"/>
        <w:shd w:val="clear" w:color="auto" w:fill="FFFFFF"/>
        <w:spacing w:before="0" w:beforeAutospacing="0" w:after="0" w:afterAutospacing="0"/>
        <w:ind w:firstLine="6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五、异议处理方式 </w:t>
      </w:r>
    </w:p>
    <w:p w14:paraId="72E960CE">
      <w:pPr>
        <w:pStyle w:val="4"/>
        <w:shd w:val="clear" w:color="auto" w:fill="FFFFFF"/>
        <w:spacing w:before="0" w:beforeAutospacing="0" w:after="0" w:afterAutospacing="0"/>
        <w:ind w:firstLine="600"/>
        <w:jc w:val="both"/>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若有关单位或个人对于公示</w:t>
      </w:r>
      <w:r>
        <w:rPr>
          <w:rFonts w:hint="eastAsia" w:ascii="仿宋" w:hAnsi="仿宋" w:eastAsia="仿宋" w:cs="仿宋"/>
          <w:color w:val="000000" w:themeColor="text1"/>
          <w:kern w:val="2"/>
          <w:sz w:val="28"/>
          <w:szCs w:val="28"/>
          <w14:textFill>
            <w14:solidFill>
              <w14:schemeClr w14:val="tx1"/>
            </w14:solidFill>
          </w14:textFill>
        </w:rPr>
        <w:t>结果存在异议，可在公示期内向食品与生物工程学院转专业工作小组和食品与生物工程学院纪律检查委员会提出。工作小组联系人及电话：饶老师（0</w:t>
      </w:r>
      <w:r>
        <w:rPr>
          <w:rFonts w:ascii="仿宋" w:hAnsi="仿宋" w:eastAsia="仿宋" w:cs="仿宋"/>
          <w:color w:val="000000" w:themeColor="text1"/>
          <w:kern w:val="2"/>
          <w:sz w:val="28"/>
          <w:szCs w:val="28"/>
          <w14:textFill>
            <w14:solidFill>
              <w14:schemeClr w14:val="tx1"/>
            </w14:solidFill>
          </w14:textFill>
        </w:rPr>
        <w:t>28-</w:t>
      </w:r>
      <w:r>
        <w:rPr>
          <w:rFonts w:hint="eastAsia" w:ascii="仿宋" w:hAnsi="仿宋" w:eastAsia="仿宋" w:cs="仿宋"/>
          <w:color w:val="000000" w:themeColor="text1"/>
          <w:kern w:val="2"/>
          <w:sz w:val="28"/>
          <w:szCs w:val="28"/>
          <w14:textFill>
            <w14:solidFill>
              <w14:schemeClr w14:val="tx1"/>
            </w14:solidFill>
          </w14:textFill>
        </w:rPr>
        <w:t>87721997），纪律检查委员会联系人及电话：张老师（0</w:t>
      </w:r>
      <w:r>
        <w:rPr>
          <w:rFonts w:ascii="仿宋" w:hAnsi="仿宋" w:eastAsia="仿宋" w:cs="仿宋"/>
          <w:color w:val="000000" w:themeColor="text1"/>
          <w:kern w:val="2"/>
          <w:sz w:val="28"/>
          <w:szCs w:val="28"/>
          <w14:textFill>
            <w14:solidFill>
              <w14:schemeClr w14:val="tx1"/>
            </w14:solidFill>
          </w14:textFill>
        </w:rPr>
        <w:t>28-</w:t>
      </w:r>
      <w:r>
        <w:rPr>
          <w:rFonts w:hint="eastAsia" w:ascii="仿宋" w:hAnsi="仿宋" w:eastAsia="仿宋" w:cs="仿宋"/>
          <w:color w:val="000000" w:themeColor="text1"/>
          <w:kern w:val="2"/>
          <w:sz w:val="28"/>
          <w:szCs w:val="28"/>
          <w14:textFill>
            <w14:solidFill>
              <w14:schemeClr w14:val="tx1"/>
            </w14:solidFill>
          </w14:textFill>
        </w:rPr>
        <w:t>87720549）。工作小组和纪委将对提出的异议进行调查核实，并将调查核实结果反馈给申述人。</w:t>
      </w:r>
    </w:p>
    <w:p w14:paraId="50B12D17">
      <w:pPr>
        <w:pStyle w:val="4"/>
        <w:shd w:val="clear" w:color="auto" w:fill="FFFFFF"/>
        <w:spacing w:before="0" w:beforeAutospacing="0" w:after="0" w:afterAutospacing="0"/>
        <w:ind w:firstLine="600"/>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六、其他 </w:t>
      </w:r>
    </w:p>
    <w:p w14:paraId="07C31511">
      <w:pPr>
        <w:pStyle w:val="4"/>
        <w:widowControl/>
        <w:shd w:val="clear" w:color="auto" w:fill="FFFFFF"/>
        <w:spacing w:before="0" w:beforeAutospacing="0" w:after="0" w:afterAutospacing="0"/>
        <w:rPr>
          <w:rFonts w:ascii="仿宋" w:hAnsi="仿宋" w:eastAsia="仿宋" w:cs="仿宋"/>
          <w:sz w:val="28"/>
          <w:szCs w:val="28"/>
        </w:rPr>
      </w:pPr>
      <w:r>
        <w:rPr>
          <w:rFonts w:hint="eastAsia" w:ascii="仿宋" w:hAnsi="仿宋" w:eastAsia="仿宋" w:cs="仿宋"/>
          <w:sz w:val="28"/>
          <w:szCs w:val="28"/>
        </w:rPr>
        <w:t xml:space="preserve">    本方案由食品与生物工程学院转专业工作小组负责解释。    </w:t>
      </w:r>
    </w:p>
    <w:p w14:paraId="0DB832AB">
      <w:pPr>
        <w:pStyle w:val="4"/>
        <w:widowControl/>
        <w:shd w:val="clear" w:color="auto" w:fill="FFFFFF"/>
        <w:spacing w:before="0" w:beforeAutospacing="0" w:after="0" w:afterAutospacing="0" w:line="560" w:lineRule="exact"/>
        <w:rPr>
          <w:rFonts w:ascii="仿宋" w:hAnsi="仿宋" w:eastAsia="仿宋" w:cs="仿宋"/>
          <w:sz w:val="28"/>
          <w:szCs w:val="28"/>
        </w:rPr>
      </w:pPr>
    </w:p>
    <w:p w14:paraId="52FACFD1">
      <w:pPr>
        <w:pStyle w:val="4"/>
        <w:widowControl/>
        <w:shd w:val="clear" w:color="auto" w:fill="FFFFFF"/>
        <w:spacing w:before="0" w:beforeAutospacing="0" w:after="0" w:afterAutospacing="0" w:line="560" w:lineRule="exact"/>
        <w:ind w:firstLine="48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916F5F"/>
    <w:multiLevelType w:val="singleLevel"/>
    <w:tmpl w:val="0C916F5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hY2E2OTBlNDk5NzgyOTEyNmU2MTg2N2ZlNzE5YjkifQ=="/>
  </w:docVars>
  <w:rsids>
    <w:rsidRoot w:val="25EE061D"/>
    <w:rsid w:val="00027930"/>
    <w:rsid w:val="000438DB"/>
    <w:rsid w:val="001133CF"/>
    <w:rsid w:val="001908AF"/>
    <w:rsid w:val="001E53C1"/>
    <w:rsid w:val="003973D1"/>
    <w:rsid w:val="003F5ED9"/>
    <w:rsid w:val="004340EF"/>
    <w:rsid w:val="00515960"/>
    <w:rsid w:val="00530EF0"/>
    <w:rsid w:val="006E0D39"/>
    <w:rsid w:val="00A617F0"/>
    <w:rsid w:val="00AD2D13"/>
    <w:rsid w:val="00C25A87"/>
    <w:rsid w:val="00DD7DC7"/>
    <w:rsid w:val="00E00E1F"/>
    <w:rsid w:val="00EE06B0"/>
    <w:rsid w:val="00F03DA8"/>
    <w:rsid w:val="05D372BD"/>
    <w:rsid w:val="09B421E7"/>
    <w:rsid w:val="0AE1109A"/>
    <w:rsid w:val="0AED0606"/>
    <w:rsid w:val="0C81174F"/>
    <w:rsid w:val="0CE95B0D"/>
    <w:rsid w:val="0D0E0ACD"/>
    <w:rsid w:val="0D7F4B32"/>
    <w:rsid w:val="0DA77C5A"/>
    <w:rsid w:val="0F587009"/>
    <w:rsid w:val="0FAD59F1"/>
    <w:rsid w:val="15444E8B"/>
    <w:rsid w:val="165536E0"/>
    <w:rsid w:val="17D1379A"/>
    <w:rsid w:val="19F0370D"/>
    <w:rsid w:val="1BEC5B89"/>
    <w:rsid w:val="1D727738"/>
    <w:rsid w:val="1F495FFD"/>
    <w:rsid w:val="1F896D6A"/>
    <w:rsid w:val="201F279C"/>
    <w:rsid w:val="229F51DC"/>
    <w:rsid w:val="22C74532"/>
    <w:rsid w:val="232B2294"/>
    <w:rsid w:val="23F16D6B"/>
    <w:rsid w:val="257F0B1B"/>
    <w:rsid w:val="25EE061D"/>
    <w:rsid w:val="29796C62"/>
    <w:rsid w:val="29CE5879"/>
    <w:rsid w:val="2D0D7E7F"/>
    <w:rsid w:val="30666F52"/>
    <w:rsid w:val="30FE0918"/>
    <w:rsid w:val="32484C1B"/>
    <w:rsid w:val="32CE1FCA"/>
    <w:rsid w:val="344C23E9"/>
    <w:rsid w:val="36543592"/>
    <w:rsid w:val="37171789"/>
    <w:rsid w:val="39D61546"/>
    <w:rsid w:val="41124534"/>
    <w:rsid w:val="44FD2FB7"/>
    <w:rsid w:val="457603DB"/>
    <w:rsid w:val="46BF4C9C"/>
    <w:rsid w:val="47786AB9"/>
    <w:rsid w:val="47D979EC"/>
    <w:rsid w:val="493745C6"/>
    <w:rsid w:val="49E47315"/>
    <w:rsid w:val="4B896477"/>
    <w:rsid w:val="4D0E6C05"/>
    <w:rsid w:val="4D471A18"/>
    <w:rsid w:val="4DCC5F5A"/>
    <w:rsid w:val="4E2528C4"/>
    <w:rsid w:val="52D85A26"/>
    <w:rsid w:val="56DA592C"/>
    <w:rsid w:val="56E868DB"/>
    <w:rsid w:val="59EA1F2D"/>
    <w:rsid w:val="59ED2E58"/>
    <w:rsid w:val="5A2F38FA"/>
    <w:rsid w:val="5AE56E1D"/>
    <w:rsid w:val="5BAA0068"/>
    <w:rsid w:val="5BDF5C70"/>
    <w:rsid w:val="5C5B5F83"/>
    <w:rsid w:val="5CBE5D7E"/>
    <w:rsid w:val="5EE4704B"/>
    <w:rsid w:val="6125204E"/>
    <w:rsid w:val="61B26BD1"/>
    <w:rsid w:val="61CE140A"/>
    <w:rsid w:val="630E6251"/>
    <w:rsid w:val="64751FD5"/>
    <w:rsid w:val="64E73940"/>
    <w:rsid w:val="692C4A1B"/>
    <w:rsid w:val="6D000286"/>
    <w:rsid w:val="72403DE5"/>
    <w:rsid w:val="72AE78CD"/>
    <w:rsid w:val="72D34A17"/>
    <w:rsid w:val="76724FD8"/>
    <w:rsid w:val="76BA080E"/>
    <w:rsid w:val="788A3B57"/>
    <w:rsid w:val="7894263A"/>
    <w:rsid w:val="7C616AC8"/>
    <w:rsid w:val="7CD82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qFormat/>
    <w:uiPriority w:val="0"/>
    <w:rPr>
      <w:b/>
    </w:rPr>
  </w:style>
  <w:style w:type="character" w:customStyle="1" w:styleId="9">
    <w:name w:val="页眉 字符"/>
    <w:basedOn w:val="7"/>
    <w:link w:val="3"/>
    <w:qFormat/>
    <w:uiPriority w:val="0"/>
    <w:rPr>
      <w:rFonts w:asciiTheme="minorHAnsi" w:hAnsiTheme="minorHAnsi" w:eastAsiaTheme="minorEastAsia" w:cstheme="minorBidi"/>
      <w:kern w:val="2"/>
      <w:sz w:val="18"/>
      <w:szCs w:val="18"/>
    </w:rPr>
  </w:style>
  <w:style w:type="character" w:customStyle="1" w:styleId="10">
    <w:name w:val="页脚 字符"/>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835</Words>
  <Characters>925</Characters>
  <Lines>7</Lines>
  <Paragraphs>1</Paragraphs>
  <TotalTime>20</TotalTime>
  <ScaleCrop>false</ScaleCrop>
  <LinksUpToDate>false</LinksUpToDate>
  <CharactersWithSpaces>942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2024-03-27T01:59:00Z</dcterms:created>
  <dc:creator>庄发文</dc:creator>
  <cp:lastModifiedBy>邱远棋</cp:lastModifiedBy>
  <dcterms:modified xsi:type="dcterms:W3CDTF">2025-04-08T07:19:51Z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6A01F26C7F5D4076A4BC62AC584639A1_13</vt:lpwstr>
  </property>
  <property fmtid="{D5CDD505-2E9C-101B-9397-08002B2CF9AE}" pid="4" name="KSOTemplateDocerSaveRecord">
    <vt:lpwstr>eyJoZGlkIjoiYjFmYzkyNjE4ZGY5OTU0ZTViNzllZTNiMzNjZWMxZWQiLCJ1c2VySWQiOiIxNTcyODA2NjYxIn0=</vt:lpwstr>
  </property>
</Properties>
</file>