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3A09">
      <w:pPr>
        <w:ind w:right="630"/>
        <w:rPr>
          <w:rFonts w:hint="eastAsia"/>
        </w:rPr>
      </w:pPr>
      <w:r>
        <w:rPr>
          <w:rFonts w:hint="eastAsia"/>
          <w:b/>
          <w:bCs/>
        </w:rPr>
        <w:t>附</w:t>
      </w:r>
    </w:p>
    <w:p w14:paraId="3D622571">
      <w:pPr>
        <w:pStyle w:val="3"/>
      </w:pPr>
    </w:p>
    <w:tbl>
      <w:tblPr>
        <w:tblStyle w:val="9"/>
        <w:tblpPr w:leftFromText="180" w:rightFromText="180" w:vertAnchor="page" w:horzAnchor="page" w:tblpXSpec="center" w:tblpY="1875"/>
        <w:tblW w:w="8497" w:type="dxa"/>
        <w:tblInd w:w="0" w:type="dxa"/>
        <w:shd w:val="clear" w:color="auto" w:fill="FFFFFF"/>
        <w:tblLayout w:type="autofit"/>
        <w:tblCellMar>
          <w:top w:w="0" w:type="dxa"/>
          <w:left w:w="0" w:type="dxa"/>
          <w:bottom w:w="0" w:type="dxa"/>
          <w:right w:w="0" w:type="dxa"/>
        </w:tblCellMar>
      </w:tblPr>
      <w:tblGrid>
        <w:gridCol w:w="701"/>
        <w:gridCol w:w="3062"/>
        <w:gridCol w:w="4734"/>
      </w:tblGrid>
      <w:tr w14:paraId="508CF182">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40CCF901">
            <w:pPr>
              <w:rPr>
                <w:rFonts w:ascii="Calibri" w:hAnsi="Calibri" w:eastAsia="宋体" w:cs="Times New Roman"/>
                <w:bCs/>
                <w:szCs w:val="24"/>
              </w:rPr>
            </w:pPr>
            <w:r>
              <w:rPr>
                <w:rFonts w:hint="eastAsia" w:ascii="Calibri" w:hAnsi="Calibri" w:eastAsia="宋体" w:cs="Times New Roman"/>
                <w:bCs/>
                <w:szCs w:val="24"/>
              </w:rPr>
              <w:t>序号</w:t>
            </w:r>
          </w:p>
        </w:tc>
        <w:tc>
          <w:tcPr>
            <w:tcW w:w="306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72E5EC97">
            <w:pPr>
              <w:rPr>
                <w:rFonts w:ascii="Calibri" w:hAnsi="Calibri" w:eastAsia="宋体" w:cs="Times New Roman"/>
                <w:bCs/>
                <w:szCs w:val="24"/>
              </w:rPr>
            </w:pPr>
            <w:r>
              <w:rPr>
                <w:rFonts w:hint="eastAsia" w:ascii="Calibri" w:hAnsi="Calibri" w:eastAsia="宋体" w:cs="Times New Roman"/>
                <w:bCs/>
                <w:szCs w:val="24"/>
              </w:rPr>
              <w:t>资格要求名称</w:t>
            </w:r>
          </w:p>
        </w:tc>
        <w:tc>
          <w:tcPr>
            <w:tcW w:w="4734"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0C25D565">
            <w:pPr>
              <w:rPr>
                <w:rFonts w:ascii="Calibri" w:hAnsi="Calibri" w:eastAsia="宋体" w:cs="Times New Roman"/>
                <w:bCs/>
                <w:szCs w:val="24"/>
              </w:rPr>
            </w:pPr>
            <w:r>
              <w:rPr>
                <w:rFonts w:hint="eastAsia" w:ascii="Calibri" w:hAnsi="Calibri" w:eastAsia="宋体" w:cs="Times New Roman"/>
                <w:bCs/>
                <w:szCs w:val="24"/>
              </w:rPr>
              <w:t>资格要求详细说明</w:t>
            </w:r>
          </w:p>
        </w:tc>
      </w:tr>
      <w:tr w14:paraId="2724B26C">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622CFB">
            <w:pPr>
              <w:jc w:val="center"/>
              <w:rPr>
                <w:rFonts w:ascii="Calibri" w:hAnsi="Calibri" w:eastAsia="宋体" w:cs="Times New Roman"/>
                <w:szCs w:val="24"/>
              </w:rPr>
            </w:pPr>
            <w:r>
              <w:rPr>
                <w:rFonts w:hint="eastAsia" w:ascii="Calibri" w:hAnsi="Calibri" w:eastAsia="宋体" w:cs="Times New Roman"/>
                <w:szCs w:val="24"/>
              </w:rPr>
              <w:t>1</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5CBFCA6">
            <w:pPr>
              <w:rPr>
                <w:rFonts w:ascii="Calibri" w:hAnsi="Calibri" w:eastAsia="宋体" w:cs="Times New Roman"/>
                <w:szCs w:val="24"/>
              </w:rPr>
            </w:pPr>
            <w:r>
              <w:rPr>
                <w:rFonts w:hint="eastAsia" w:ascii="Calibri" w:hAnsi="Calibri" w:eastAsia="宋体" w:cs="Times New Roman"/>
                <w:szCs w:val="24"/>
              </w:rPr>
              <w:t>投标人应具有独立承担民事责任的能力</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209FF5">
            <w:pPr>
              <w:rPr>
                <w:rFonts w:ascii="Calibri" w:hAnsi="Calibri" w:eastAsia="宋体" w:cs="Times New Roman"/>
                <w:szCs w:val="24"/>
              </w:rPr>
            </w:pPr>
            <w:r>
              <w:rPr>
                <w:rFonts w:hint="eastAsia" w:ascii="Calibri" w:hAnsi="Calibri" w:eastAsia="宋体" w:cs="Times New Roman"/>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7FC97A01">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FA0E280">
            <w:pPr>
              <w:jc w:val="center"/>
              <w:rPr>
                <w:rFonts w:ascii="Calibri" w:hAnsi="Calibri" w:eastAsia="宋体" w:cs="Times New Roman"/>
                <w:szCs w:val="24"/>
              </w:rPr>
            </w:pPr>
            <w:r>
              <w:rPr>
                <w:rFonts w:hint="eastAsia" w:ascii="Calibri" w:hAnsi="Calibri" w:eastAsia="宋体" w:cs="Times New Roman"/>
                <w:szCs w:val="24"/>
              </w:rPr>
              <w:t>2</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7EC62F6">
            <w:pPr>
              <w:rPr>
                <w:rFonts w:ascii="Calibri" w:hAnsi="Calibri" w:eastAsia="宋体" w:cs="Times New Roman"/>
                <w:szCs w:val="24"/>
              </w:rPr>
            </w:pPr>
            <w:r>
              <w:rPr>
                <w:rFonts w:hint="eastAsia" w:ascii="Calibri" w:hAnsi="Calibri" w:eastAsia="宋体" w:cs="Times New Roman"/>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A5A82CE">
            <w:pPr>
              <w:rPr>
                <w:rFonts w:ascii="Calibri" w:hAnsi="Calibri" w:eastAsia="宋体" w:cs="Times New Roman"/>
                <w:szCs w:val="24"/>
              </w:rPr>
            </w:pPr>
            <w:r>
              <w:rPr>
                <w:rFonts w:hint="eastAsia" w:ascii="Calibri" w:hAnsi="Calibri" w:eastAsia="宋体" w:cs="Times New Roman"/>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1C595D17">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A9A0FBF">
            <w:pPr>
              <w:jc w:val="center"/>
              <w:rPr>
                <w:rFonts w:ascii="Calibri" w:hAnsi="Calibri" w:eastAsia="宋体" w:cs="Times New Roman"/>
                <w:szCs w:val="24"/>
              </w:rPr>
            </w:pPr>
            <w:r>
              <w:rPr>
                <w:rFonts w:hint="eastAsia" w:ascii="Calibri" w:hAnsi="Calibri" w:eastAsia="宋体" w:cs="Times New Roman"/>
                <w:szCs w:val="24"/>
              </w:rPr>
              <w:t>3</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3F3F2A9">
            <w:pPr>
              <w:rPr>
                <w:rFonts w:ascii="Calibri" w:hAnsi="Calibri" w:eastAsia="宋体" w:cs="Times New Roman"/>
                <w:szCs w:val="24"/>
              </w:rPr>
            </w:pPr>
            <w:r>
              <w:rPr>
                <w:rFonts w:hint="eastAsia" w:ascii="Calibri" w:hAnsi="Calibri" w:eastAsia="宋体" w:cs="Times New Roman"/>
                <w:szCs w:val="24"/>
              </w:rPr>
              <w:t>未被列入失信被执行人、重大税收违法案件当事人名单、政府采购严重违法失信行为记录名单</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90669DF">
            <w:pPr>
              <w:rPr>
                <w:rFonts w:ascii="Calibri" w:hAnsi="Calibri" w:eastAsia="宋体" w:cs="Times New Roman"/>
                <w:szCs w:val="24"/>
              </w:rPr>
            </w:pPr>
            <w:r>
              <w:rPr>
                <w:rFonts w:hint="eastAsia" w:ascii="Calibri" w:hAnsi="Calibri" w:eastAsia="宋体" w:cs="Times New Roman"/>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3D96062E">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5DFF5CF">
            <w:pPr>
              <w:jc w:val="center"/>
              <w:rPr>
                <w:rFonts w:ascii="Calibri" w:hAnsi="Calibri" w:eastAsia="宋体" w:cs="Times New Roman"/>
                <w:szCs w:val="24"/>
              </w:rPr>
            </w:pPr>
            <w:r>
              <w:rPr>
                <w:rFonts w:hint="eastAsia" w:ascii="Calibri" w:hAnsi="Calibri" w:eastAsia="宋体" w:cs="Times New Roman"/>
                <w:szCs w:val="24"/>
              </w:rPr>
              <w:t>4</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94022A1">
            <w:pPr>
              <w:rPr>
                <w:rFonts w:ascii="Calibri" w:hAnsi="Calibri" w:eastAsia="宋体" w:cs="Times New Roman"/>
                <w:szCs w:val="24"/>
              </w:rPr>
            </w:pPr>
            <w:r>
              <w:rPr>
                <w:rFonts w:hint="eastAsia" w:ascii="Calibri" w:hAnsi="Calibri" w:eastAsia="宋体" w:cs="Times New Roman"/>
                <w:szCs w:val="24"/>
              </w:rPr>
              <w:t>未处于被行政部门禁止参与政府采购活动的期限内</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597D313">
            <w:pPr>
              <w:rPr>
                <w:rFonts w:ascii="Calibri" w:hAnsi="Calibri" w:eastAsia="宋体" w:cs="Times New Roman"/>
                <w:szCs w:val="24"/>
              </w:rPr>
            </w:pPr>
            <w:r>
              <w:rPr>
                <w:rFonts w:hint="eastAsia" w:ascii="Calibri" w:hAnsi="Calibri" w:eastAsia="宋体" w:cs="Times New Roman"/>
                <w:szCs w:val="24"/>
              </w:rPr>
              <w:t>投标人未处于被行政部门禁止参与政府采购活动的期限内。 【说明：①投标人按招标文件要求提供书面声明材料；②投标人未处于被行政部门禁止参与政府采购活动的期限内。】</w:t>
            </w:r>
          </w:p>
        </w:tc>
      </w:tr>
      <w:tr w14:paraId="0920E8B9">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0BE6B30">
            <w:pPr>
              <w:jc w:val="center"/>
              <w:rPr>
                <w:rFonts w:ascii="Calibri" w:hAnsi="Calibri" w:eastAsia="宋体" w:cs="Times New Roman"/>
                <w:szCs w:val="24"/>
              </w:rPr>
            </w:pPr>
            <w:r>
              <w:rPr>
                <w:rFonts w:hint="eastAsia" w:ascii="Calibri" w:hAnsi="Calibri" w:eastAsia="宋体" w:cs="Times New Roman"/>
                <w:szCs w:val="24"/>
              </w:rPr>
              <w:t>5</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D3E786D">
            <w:pPr>
              <w:rPr>
                <w:rFonts w:ascii="Calibri" w:hAnsi="Calibri" w:eastAsia="宋体" w:cs="Times New Roman"/>
                <w:szCs w:val="24"/>
              </w:rPr>
            </w:pPr>
            <w:r>
              <w:rPr>
                <w:rFonts w:hint="eastAsia" w:ascii="Calibri" w:hAnsi="Calibri" w:eastAsia="宋体" w:cs="Times New Roman"/>
                <w:szCs w:val="24"/>
              </w:rPr>
              <w:t>行贿犯罪记录</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45C0E45">
            <w:pPr>
              <w:rPr>
                <w:rFonts w:ascii="Calibri" w:hAnsi="Calibri" w:eastAsia="宋体" w:cs="Times New Roman"/>
                <w:szCs w:val="24"/>
              </w:rPr>
            </w:pPr>
            <w:r>
              <w:rPr>
                <w:rFonts w:hint="eastAsia" w:ascii="Calibri" w:hAnsi="Calibri" w:eastAsia="宋体" w:cs="Times New Roman"/>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5FDC7538">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E2BFC6">
            <w:pPr>
              <w:jc w:val="center"/>
              <w:rPr>
                <w:rFonts w:ascii="Calibri" w:hAnsi="Calibri" w:eastAsia="宋体" w:cs="Times New Roman"/>
                <w:szCs w:val="24"/>
              </w:rPr>
            </w:pPr>
            <w:r>
              <w:rPr>
                <w:rFonts w:hint="eastAsia" w:ascii="Calibri" w:hAnsi="Calibri" w:eastAsia="宋体" w:cs="Times New Roman"/>
                <w:szCs w:val="24"/>
              </w:rPr>
              <w:t>6</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9C4F95">
            <w:pPr>
              <w:rPr>
                <w:rFonts w:ascii="Calibri" w:hAnsi="Calibri" w:eastAsia="宋体" w:cs="Times New Roman"/>
                <w:szCs w:val="24"/>
              </w:rPr>
            </w:pPr>
            <w:r>
              <w:rPr>
                <w:rFonts w:hint="eastAsia" w:ascii="Calibri" w:hAnsi="Calibri" w:eastAsia="宋体" w:cs="Times New Roman"/>
                <w:szCs w:val="24"/>
              </w:rPr>
              <w:t>单位负责人为同一人或者存在直接控股、管理关系的不同供应商，不得参加同一项目的投标</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C909FBC">
            <w:pPr>
              <w:rPr>
                <w:rFonts w:ascii="Calibri" w:hAnsi="Calibri" w:eastAsia="宋体" w:cs="Times New Roman"/>
                <w:szCs w:val="24"/>
              </w:rPr>
            </w:pPr>
            <w:r>
              <w:rPr>
                <w:rFonts w:hint="eastAsia" w:ascii="Calibri" w:hAnsi="Calibri" w:eastAsia="宋体" w:cs="Times New Roman"/>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600F4AFF">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CEAFDB">
            <w:pPr>
              <w:jc w:val="center"/>
              <w:rPr>
                <w:rFonts w:ascii="Calibri" w:hAnsi="Calibri" w:eastAsia="宋体" w:cs="Times New Roman"/>
                <w:szCs w:val="24"/>
              </w:rPr>
            </w:pPr>
            <w:r>
              <w:rPr>
                <w:rFonts w:hint="eastAsia" w:ascii="Calibri" w:hAnsi="Calibri" w:eastAsia="宋体" w:cs="Times New Roman"/>
                <w:szCs w:val="24"/>
              </w:rPr>
              <w:t>7</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A93F6B0">
            <w:pPr>
              <w:rPr>
                <w:rFonts w:ascii="Calibri" w:hAnsi="Calibri" w:eastAsia="宋体" w:cs="Times New Roman"/>
                <w:szCs w:val="24"/>
              </w:rPr>
            </w:pPr>
            <w:r>
              <w:rPr>
                <w:rFonts w:hint="eastAsia" w:ascii="Calibri" w:hAnsi="Calibri" w:eastAsia="宋体" w:cs="Times New Roman"/>
                <w:szCs w:val="24"/>
              </w:rPr>
              <w:t>投标文件签章</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19F77F">
            <w:pPr>
              <w:rPr>
                <w:rFonts w:ascii="Calibri" w:hAnsi="Calibri" w:eastAsia="宋体" w:cs="Times New Roman"/>
                <w:szCs w:val="24"/>
              </w:rPr>
            </w:pPr>
            <w:r>
              <w:rPr>
                <w:rFonts w:hint="eastAsia" w:ascii="Calibri" w:hAnsi="Calibri" w:eastAsia="宋体" w:cs="Times New Roman"/>
                <w:szCs w:val="24"/>
              </w:rPr>
              <w:t>投标文件加盖有投标人（法定名称）电子签章。【说明：无须提供证明材料，上传空白页即可，不对本项上传的材料作资格审查】</w:t>
            </w:r>
          </w:p>
        </w:tc>
      </w:tr>
      <w:tr w14:paraId="4D043674">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687B30D">
            <w:pPr>
              <w:jc w:val="center"/>
              <w:rPr>
                <w:rFonts w:ascii="Calibri" w:hAnsi="Calibri" w:eastAsia="宋体" w:cs="Times New Roman"/>
                <w:szCs w:val="24"/>
              </w:rPr>
            </w:pPr>
            <w:r>
              <w:rPr>
                <w:rFonts w:hint="eastAsia" w:ascii="Calibri" w:hAnsi="Calibri" w:eastAsia="宋体" w:cs="Times New Roman"/>
                <w:szCs w:val="24"/>
              </w:rPr>
              <w:t>8</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BE0EF2">
            <w:pPr>
              <w:rPr>
                <w:rFonts w:ascii="Calibri" w:hAnsi="Calibri" w:eastAsia="宋体" w:cs="Times New Roman"/>
                <w:szCs w:val="24"/>
              </w:rPr>
            </w:pPr>
            <w:r>
              <w:rPr>
                <w:rFonts w:hint="eastAsia" w:ascii="Calibri" w:hAnsi="Calibri" w:eastAsia="宋体" w:cs="Times New Roman"/>
                <w:szCs w:val="24"/>
              </w:rPr>
              <w:t>投标文件资格响应文件的语言</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7C4E19">
            <w:pPr>
              <w:rPr>
                <w:rFonts w:ascii="Calibri" w:hAnsi="Calibri" w:eastAsia="宋体" w:cs="Times New Roman"/>
                <w:szCs w:val="24"/>
              </w:rPr>
            </w:pPr>
            <w:r>
              <w:rPr>
                <w:rFonts w:hint="eastAsia" w:ascii="Calibri" w:hAnsi="Calibri" w:eastAsia="宋体" w:cs="Times New Roman"/>
                <w:szCs w:val="24"/>
              </w:rPr>
              <w:t>语言符合招标文件的要求。 【说明：投标人无须提供证明材料，上传空白页即可，不对本项上传的材料作资格审查】</w:t>
            </w:r>
          </w:p>
        </w:tc>
      </w:tr>
      <w:tr w14:paraId="78F2D79F">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32A988">
            <w:pPr>
              <w:jc w:val="center"/>
              <w:rPr>
                <w:rFonts w:ascii="Calibri" w:hAnsi="Calibri" w:eastAsia="宋体" w:cs="Times New Roman"/>
                <w:szCs w:val="24"/>
              </w:rPr>
            </w:pPr>
            <w:r>
              <w:rPr>
                <w:rFonts w:hint="eastAsia" w:ascii="Calibri" w:hAnsi="Calibri" w:eastAsia="宋体" w:cs="Times New Roman"/>
                <w:szCs w:val="24"/>
              </w:rPr>
              <w:t>9</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A635F0">
            <w:pPr>
              <w:rPr>
                <w:rFonts w:ascii="Calibri" w:hAnsi="Calibri" w:eastAsia="宋体" w:cs="Times New Roman"/>
                <w:szCs w:val="24"/>
              </w:rPr>
            </w:pPr>
            <w:r>
              <w:rPr>
                <w:rFonts w:hint="eastAsia" w:ascii="Calibri" w:hAnsi="Calibri" w:eastAsia="宋体" w:cs="Times New Roman"/>
                <w:szCs w:val="24"/>
              </w:rPr>
              <w:t>法律、行政法规规定的其他条件</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10A2964">
            <w:pPr>
              <w:rPr>
                <w:rFonts w:ascii="Calibri" w:hAnsi="Calibri" w:eastAsia="宋体" w:cs="Times New Roman"/>
                <w:szCs w:val="24"/>
              </w:rPr>
            </w:pPr>
            <w:r>
              <w:rPr>
                <w:rFonts w:hint="eastAsia" w:ascii="Calibri" w:hAnsi="Calibri" w:eastAsia="宋体" w:cs="Times New Roman"/>
                <w:szCs w:val="24"/>
              </w:rPr>
              <w:t>采购人对法律、行政法规规定的其他条件无其他特殊要求，投标人可不提供证明材料。 【说明：投标人无须提供证明材料，上传空白页即可，不对本项上传的材料作资格审查】</w:t>
            </w:r>
          </w:p>
        </w:tc>
      </w:tr>
      <w:tr w14:paraId="485841F7">
        <w:tblPrEx>
          <w:shd w:val="clear" w:color="auto" w:fill="FFFFFF"/>
          <w:tblCellMar>
            <w:top w:w="0" w:type="dxa"/>
            <w:left w:w="0" w:type="dxa"/>
            <w:bottom w:w="0" w:type="dxa"/>
            <w:right w:w="0" w:type="dxa"/>
          </w:tblCellMar>
        </w:tblPrEx>
        <w:trPr>
          <w:cantSplit/>
          <w:trHeight w:val="482"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610DA9">
            <w:pPr>
              <w:jc w:val="center"/>
              <w:rPr>
                <w:rFonts w:ascii="Calibri" w:hAnsi="Calibri" w:eastAsia="宋体" w:cs="Times New Roman"/>
                <w:szCs w:val="24"/>
              </w:rPr>
            </w:pPr>
            <w:r>
              <w:rPr>
                <w:rFonts w:hint="eastAsia" w:ascii="Calibri" w:hAnsi="Calibri" w:eastAsia="宋体" w:cs="Times New Roman"/>
                <w:szCs w:val="24"/>
              </w:rPr>
              <w:t>10</w:t>
            </w:r>
          </w:p>
        </w:tc>
        <w:tc>
          <w:tcPr>
            <w:tcW w:w="30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E142AA">
            <w:pPr>
              <w:rPr>
                <w:rFonts w:ascii="Calibri" w:hAnsi="Calibri" w:eastAsia="宋体" w:cs="Times New Roman"/>
                <w:szCs w:val="24"/>
              </w:rPr>
            </w:pPr>
            <w:r>
              <w:rPr>
                <w:rFonts w:hint="eastAsia" w:ascii="Calibri" w:hAnsi="Calibri" w:eastAsia="宋体" w:cs="Times New Roman"/>
                <w:szCs w:val="24"/>
              </w:rPr>
              <w:t>不属于国家相关法律法规规定的其他禁止参加投标的情形</w:t>
            </w:r>
          </w:p>
        </w:tc>
        <w:tc>
          <w:tcPr>
            <w:tcW w:w="473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24062CC">
            <w:pPr>
              <w:rPr>
                <w:rFonts w:ascii="Calibri" w:hAnsi="Calibri" w:eastAsia="宋体" w:cs="Times New Roman"/>
                <w:szCs w:val="24"/>
              </w:rPr>
            </w:pPr>
            <w:r>
              <w:rPr>
                <w:rFonts w:hint="eastAsia" w:ascii="Calibri" w:hAnsi="Calibri" w:eastAsia="宋体" w:cs="Times New Roman"/>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0A9AB48C">
      <w:pPr>
        <w:rPr>
          <w:rFonts w:ascii="Calibri" w:hAnsi="Calibri" w:eastAsia="宋体" w:cs="Times New Roman"/>
          <w:szCs w:val="24"/>
        </w:rPr>
      </w:pPr>
    </w:p>
    <w:p w14:paraId="07D6A74A">
      <w:pPr>
        <w:pStyle w:val="3"/>
      </w:pPr>
    </w:p>
    <w:p w14:paraId="4B69DE78">
      <w:pPr>
        <w:rPr>
          <w:rFonts w:hint="eastAsia" w:ascii="Calibri" w:hAnsi="Calibri" w:eastAsia="宋体" w:cs="Times New Roman"/>
          <w:bCs/>
          <w:szCs w:val="24"/>
        </w:rPr>
      </w:pPr>
      <w:r>
        <w:rPr>
          <w:rFonts w:hint="eastAsia" w:ascii="Calibri" w:hAnsi="Calibri" w:eastAsia="宋体" w:cs="Times New Roman"/>
          <w:bCs/>
          <w:szCs w:val="24"/>
        </w:rPr>
        <w:br w:type="page"/>
      </w:r>
    </w:p>
    <w:p w14:paraId="0D107E64">
      <w:pPr>
        <w:rPr>
          <w:rFonts w:ascii="Calibri" w:hAnsi="Calibri" w:eastAsia="宋体" w:cs="Times New Roman"/>
          <w:bCs/>
          <w:szCs w:val="24"/>
        </w:rPr>
      </w:pPr>
      <w:r>
        <w:rPr>
          <w:rFonts w:hint="eastAsia" w:ascii="Calibri" w:hAnsi="Calibri" w:eastAsia="宋体" w:cs="Times New Roman"/>
          <w:bCs/>
          <w:szCs w:val="24"/>
        </w:rPr>
        <w:t>技术要求与标准：</w:t>
      </w:r>
    </w:p>
    <w:p w14:paraId="102EFAFF">
      <w:pPr>
        <w:ind w:firstLine="420" w:firstLineChars="200"/>
        <w:rPr>
          <w:rFonts w:ascii="Calibri" w:hAnsi="Calibri" w:eastAsia="宋体" w:cs="Times New Roman"/>
          <w:szCs w:val="24"/>
        </w:rPr>
      </w:pPr>
      <w:r>
        <w:rPr>
          <w:rFonts w:hint="eastAsia" w:ascii="Calibri" w:hAnsi="Calibri" w:eastAsia="宋体" w:cs="Times New Roman"/>
          <w:szCs w:val="24"/>
        </w:rPr>
        <w:t>说明：在“具体技术（参数）要求”处应当详细明确具体要求。打“▲”号条款为重要技术参数，若有部分“▲”条款未响应或不满足，将导致其响应性评审加重扣分，但不作为无效投标条款。</w:t>
      </w:r>
    </w:p>
    <w:p w14:paraId="73BB7F45">
      <w:pPr>
        <w:rPr>
          <w:rFonts w:ascii="Calibri" w:hAnsi="Calibri" w:eastAsia="宋体" w:cs="Times New Roman"/>
          <w:szCs w:val="24"/>
        </w:rPr>
      </w:pPr>
      <w:r>
        <w:rPr>
          <w:rFonts w:hint="eastAsia" w:ascii="Calibri" w:hAnsi="Calibri" w:eastAsia="宋体" w:cs="Times New Roman"/>
          <w:szCs w:val="24"/>
        </w:rPr>
        <w:t>品目信息一的</w:t>
      </w:r>
      <w:r>
        <w:rPr>
          <w:rFonts w:ascii="Calibri" w:hAnsi="Calibri" w:eastAsia="宋体" w:cs="Times New Roman"/>
          <w:szCs w:val="24"/>
        </w:rPr>
        <w:t>标的参数：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482"/>
        <w:gridCol w:w="4496"/>
        <w:gridCol w:w="660"/>
      </w:tblGrid>
      <w:tr w14:paraId="0CC9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88" w:type="dxa"/>
            <w:vAlign w:val="center"/>
          </w:tcPr>
          <w:p w14:paraId="4DAAD997">
            <w:pPr>
              <w:pStyle w:val="8"/>
              <w:rPr>
                <w:rFonts w:hint="eastAsia"/>
                <w:kern w:val="0"/>
                <w:szCs w:val="21"/>
              </w:rPr>
            </w:pPr>
            <w:r>
              <w:rPr>
                <w:rFonts w:hint="eastAsia"/>
                <w:kern w:val="0"/>
                <w:szCs w:val="21"/>
              </w:rPr>
              <w:t>模块</w:t>
            </w:r>
            <w:r>
              <w:rPr>
                <w:rFonts w:hint="eastAsia"/>
                <w:kern w:val="0"/>
                <w:szCs w:val="21"/>
                <w:lang w:eastAsia="zh-Hans"/>
              </w:rPr>
              <w:t>序号</w:t>
            </w:r>
          </w:p>
        </w:tc>
        <w:tc>
          <w:tcPr>
            <w:tcW w:w="5978" w:type="dxa"/>
            <w:gridSpan w:val="2"/>
            <w:vAlign w:val="center"/>
          </w:tcPr>
          <w:p w14:paraId="1EEEDA7D">
            <w:pPr>
              <w:pStyle w:val="8"/>
              <w:rPr>
                <w:rFonts w:hint="eastAsia"/>
                <w:kern w:val="0"/>
                <w:szCs w:val="21"/>
                <w:lang w:eastAsia="zh-Hans"/>
              </w:rPr>
            </w:pPr>
            <w:r>
              <w:rPr>
                <w:rFonts w:hint="eastAsia"/>
                <w:kern w:val="0"/>
                <w:szCs w:val="21"/>
              </w:rPr>
              <w:t>技术参数与性能指标</w:t>
            </w:r>
          </w:p>
        </w:tc>
        <w:tc>
          <w:tcPr>
            <w:tcW w:w="660" w:type="dxa"/>
            <w:vAlign w:val="center"/>
          </w:tcPr>
          <w:p w14:paraId="0BA17B16">
            <w:pPr>
              <w:pStyle w:val="8"/>
              <w:rPr>
                <w:rFonts w:hint="eastAsia"/>
                <w:kern w:val="0"/>
                <w:szCs w:val="21"/>
              </w:rPr>
            </w:pPr>
            <w:r>
              <w:rPr>
                <w:rFonts w:hint="eastAsia"/>
                <w:kern w:val="0"/>
                <w:szCs w:val="21"/>
                <w:lang w:eastAsia="zh-Hans"/>
              </w:rPr>
              <w:t>参数性质</w:t>
            </w:r>
          </w:p>
        </w:tc>
      </w:tr>
      <w:tr w14:paraId="5E10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8" w:type="dxa"/>
            <w:vMerge w:val="restart"/>
            <w:vAlign w:val="center"/>
          </w:tcPr>
          <w:p w14:paraId="6250D97E">
            <w:pPr>
              <w:pStyle w:val="8"/>
              <w:rPr>
                <w:rFonts w:hint="eastAsia"/>
                <w:kern w:val="0"/>
                <w:szCs w:val="21"/>
              </w:rPr>
            </w:pPr>
            <w:r>
              <w:rPr>
                <w:rFonts w:hint="eastAsia"/>
                <w:kern w:val="0"/>
                <w:szCs w:val="21"/>
                <w:lang w:val="en-US" w:eastAsia="zh-CN"/>
              </w:rPr>
              <w:t>一</w:t>
            </w:r>
            <w:r>
              <w:rPr>
                <w:kern w:val="0"/>
                <w:szCs w:val="21"/>
              </w:rPr>
              <w:t>、课程资源参数</w:t>
            </w:r>
          </w:p>
        </w:tc>
        <w:tc>
          <w:tcPr>
            <w:tcW w:w="1482" w:type="dxa"/>
            <w:vAlign w:val="center"/>
          </w:tcPr>
          <w:p w14:paraId="2F813081">
            <w:pPr>
              <w:pStyle w:val="8"/>
              <w:rPr>
                <w:rFonts w:hint="eastAsia"/>
                <w:kern w:val="0"/>
                <w:szCs w:val="21"/>
              </w:rPr>
            </w:pPr>
            <w:r>
              <w:rPr>
                <w:rFonts w:hint="eastAsia"/>
                <w:kern w:val="0"/>
                <w:szCs w:val="21"/>
              </w:rPr>
              <w:t>1.课程总体要求</w:t>
            </w:r>
          </w:p>
        </w:tc>
        <w:tc>
          <w:tcPr>
            <w:tcW w:w="4496" w:type="dxa"/>
            <w:shd w:val="clear" w:color="auto" w:fill="auto"/>
            <w:vAlign w:val="center"/>
          </w:tcPr>
          <w:p w14:paraId="3F3CD4E3">
            <w:pPr>
              <w:numPr>
                <w:ilvl w:val="0"/>
                <w:numId w:val="1"/>
              </w:numPr>
              <w:ind w:left="0" w:firstLine="0"/>
              <w:rPr>
                <w:rFonts w:ascii="宋体" w:hAnsi="宋体" w:eastAsia="宋体" w:cs="宋体"/>
                <w:color w:val="auto"/>
                <w:kern w:val="0"/>
                <w:szCs w:val="21"/>
              </w:rPr>
            </w:pPr>
            <w:r>
              <w:rPr>
                <w:rFonts w:hint="eastAsia" w:ascii="宋体" w:hAnsi="宋体" w:eastAsia="宋体" w:cs="宋体"/>
                <w:color w:val="auto"/>
                <w:kern w:val="0"/>
                <w:szCs w:val="21"/>
                <w:lang w:val="en-US" w:eastAsia="zh-CN"/>
              </w:rPr>
              <w:t>至少支持</w:t>
            </w:r>
            <w:r>
              <w:rPr>
                <w:rFonts w:hint="eastAsia" w:ascii="宋体" w:hAnsi="宋体" w:eastAsia="宋体" w:cs="宋体"/>
                <w:color w:val="auto"/>
                <w:kern w:val="0"/>
                <w:szCs w:val="21"/>
              </w:rPr>
              <w:t>提供1.4万余门在线课程供校方选择，其中包含不少于400门国家精品在线开放课程（需提供2017年</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2023年教育部公布文件证明材料）。</w:t>
            </w:r>
          </w:p>
          <w:p w14:paraId="6B1605AF">
            <w:pPr>
              <w:numPr>
                <w:ilvl w:val="0"/>
                <w:numId w:val="1"/>
              </w:numPr>
              <w:ind w:left="0" w:firstLine="0"/>
              <w:rPr>
                <w:rFonts w:ascii="宋体" w:hAnsi="宋体" w:eastAsia="宋体" w:cs="宋体"/>
                <w:kern w:val="0"/>
                <w:szCs w:val="21"/>
              </w:rPr>
            </w:pPr>
            <w:r>
              <w:rPr>
                <w:rFonts w:hint="eastAsia" w:ascii="宋体" w:hAnsi="宋体" w:eastAsia="宋体" w:cs="宋体"/>
                <w:kern w:val="0"/>
                <w:szCs w:val="21"/>
              </w:rPr>
              <w:t>在线课程包含法学、工学、管理学、教育学、经济学、理学、历史学、农学、文学、医学、艺术学、哲学12个学科大类。</w:t>
            </w:r>
          </w:p>
          <w:p w14:paraId="33C56417">
            <w:pPr>
              <w:numPr>
                <w:ilvl w:val="0"/>
                <w:numId w:val="1"/>
              </w:numPr>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在线课程包含完整的教学元素，包括但不限于教学视频、课程大纲、教学材料（PPT教案、参考资料等）、随堂测试、课堂讨论、单元测验、单元作业及考试。</w:t>
            </w:r>
          </w:p>
        </w:tc>
        <w:tc>
          <w:tcPr>
            <w:tcW w:w="660" w:type="dxa"/>
            <w:vAlign w:val="center"/>
          </w:tcPr>
          <w:p w14:paraId="4AC7B941">
            <w:pPr>
              <w:pStyle w:val="8"/>
              <w:rPr>
                <w:rFonts w:hint="eastAsia"/>
                <w:kern w:val="0"/>
                <w:szCs w:val="21"/>
              </w:rPr>
            </w:pPr>
            <w:r>
              <w:rPr>
                <w:rFonts w:hint="eastAsia"/>
                <w:kern w:val="0"/>
                <w:szCs w:val="21"/>
              </w:rPr>
              <w:t>▲</w:t>
            </w:r>
          </w:p>
        </w:tc>
      </w:tr>
      <w:tr w14:paraId="20F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8" w:type="dxa"/>
            <w:vMerge w:val="continue"/>
            <w:tcBorders/>
            <w:vAlign w:val="center"/>
          </w:tcPr>
          <w:p w14:paraId="64C017EE">
            <w:pPr>
              <w:pStyle w:val="8"/>
              <w:rPr>
                <w:rFonts w:hint="eastAsia"/>
                <w:kern w:val="0"/>
                <w:szCs w:val="21"/>
              </w:rPr>
            </w:pPr>
          </w:p>
        </w:tc>
        <w:tc>
          <w:tcPr>
            <w:tcW w:w="1482" w:type="dxa"/>
            <w:vAlign w:val="center"/>
          </w:tcPr>
          <w:p w14:paraId="3B0CCE80">
            <w:pPr>
              <w:pStyle w:val="8"/>
              <w:rPr>
                <w:rFonts w:hint="eastAsia"/>
                <w:kern w:val="0"/>
                <w:szCs w:val="21"/>
              </w:rPr>
            </w:pPr>
            <w:r>
              <w:rPr>
                <w:rFonts w:hint="eastAsia"/>
                <w:kern w:val="0"/>
                <w:szCs w:val="21"/>
              </w:rPr>
              <w:t>2.课程内容要求</w:t>
            </w:r>
          </w:p>
        </w:tc>
        <w:tc>
          <w:tcPr>
            <w:tcW w:w="4496" w:type="dxa"/>
            <w:shd w:val="clear" w:color="auto" w:fill="auto"/>
            <w:vAlign w:val="center"/>
          </w:tcPr>
          <w:p w14:paraId="175469EA">
            <w:pPr>
              <w:rPr>
                <w:rFonts w:ascii="宋体" w:hAnsi="宋体" w:eastAsia="宋体" w:cs="宋体"/>
                <w:kern w:val="0"/>
                <w:szCs w:val="21"/>
              </w:rPr>
            </w:pPr>
            <w:r>
              <w:rPr>
                <w:rFonts w:hint="eastAsia" w:ascii="宋体" w:hAnsi="宋体" w:eastAsia="宋体" w:cs="宋体"/>
                <w:kern w:val="0"/>
                <w:szCs w:val="21"/>
              </w:rPr>
              <w:t>（1） 课程覆盖计算机、外语、理学、工学、经济管理、心理学、文史哲、艺术设计、医药卫生、教育教学、法学、农林园艺12个学科大类。每个课程的制作</w:t>
            </w:r>
            <w:r>
              <w:rPr>
                <w:rFonts w:hint="eastAsia" w:ascii="宋体" w:hAnsi="宋体" w:eastAsia="宋体" w:cs="宋体"/>
                <w:kern w:val="0"/>
                <w:szCs w:val="21"/>
                <w:lang w:eastAsia="zh-CN"/>
              </w:rPr>
              <w:t>都涉及</w:t>
            </w:r>
            <w:r>
              <w:rPr>
                <w:rFonts w:hint="eastAsia" w:ascii="宋体" w:hAnsi="宋体" w:eastAsia="宋体" w:cs="宋体"/>
                <w:kern w:val="0"/>
                <w:szCs w:val="21"/>
              </w:rPr>
              <w:t>课程选题、课程规划、课程设计、课程拍摄、录制剪辑、课程上线、论坛答疑、作业批改等环节，每个课程都是高校、授课团队及平台运营商共同协调的结果。</w:t>
            </w:r>
          </w:p>
          <w:p w14:paraId="7ADC8E51">
            <w:pPr>
              <w:rPr>
                <w:rFonts w:hint="eastAsia" w:ascii="宋体" w:hAnsi="宋体" w:eastAsia="宋体" w:cs="宋体"/>
                <w:kern w:val="0"/>
                <w:szCs w:val="21"/>
              </w:rPr>
            </w:pPr>
            <w:r>
              <w:rPr>
                <w:rFonts w:hint="eastAsia" w:ascii="宋体" w:hAnsi="宋体" w:eastAsia="宋体" w:cs="宋体"/>
                <w:kern w:val="0"/>
                <w:szCs w:val="21"/>
              </w:rPr>
              <w:t>（2） 课程都是符合慕课标准的在线开放课程，包括但不限于教学视频、课程大纲、教学材料（PPT教案、参考资料等）、随堂测试、课堂讨论、单元测验、单元作业及考试。每门课程在MOOC运行学期都有课程建设高校的教学团队提供教学服务支持，辅导和帮助学习者学习。教师可在其中选择与本校教学目标一致、教学内容相同、教学安排类似的课程，引导本校学生（完成学校认证后）通过慕课、SPOC等方式进行学习，教师在线辅导，平台提供学生详尽在线学习数据用于评价学习质量、考核学习效果。</w:t>
            </w:r>
          </w:p>
        </w:tc>
        <w:tc>
          <w:tcPr>
            <w:tcW w:w="660" w:type="dxa"/>
            <w:vAlign w:val="center"/>
          </w:tcPr>
          <w:p w14:paraId="5609C4D8">
            <w:pPr>
              <w:pStyle w:val="8"/>
              <w:rPr>
                <w:rFonts w:hint="eastAsia"/>
                <w:kern w:val="0"/>
                <w:szCs w:val="21"/>
              </w:rPr>
            </w:pPr>
          </w:p>
        </w:tc>
      </w:tr>
      <w:tr w14:paraId="2BD2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8" w:type="dxa"/>
            <w:vMerge w:val="continue"/>
            <w:tcBorders/>
            <w:vAlign w:val="center"/>
          </w:tcPr>
          <w:p w14:paraId="2C8A91E4">
            <w:pPr>
              <w:pStyle w:val="8"/>
              <w:rPr>
                <w:rFonts w:hint="eastAsia"/>
                <w:kern w:val="0"/>
                <w:szCs w:val="21"/>
              </w:rPr>
            </w:pPr>
          </w:p>
        </w:tc>
        <w:tc>
          <w:tcPr>
            <w:tcW w:w="1482" w:type="dxa"/>
            <w:vAlign w:val="center"/>
          </w:tcPr>
          <w:p w14:paraId="20E3065A">
            <w:pPr>
              <w:pStyle w:val="8"/>
              <w:rPr>
                <w:rFonts w:hint="eastAsia"/>
                <w:kern w:val="0"/>
                <w:szCs w:val="21"/>
              </w:rPr>
            </w:pPr>
            <w:r>
              <w:rPr>
                <w:rFonts w:hint="eastAsia"/>
                <w:kern w:val="0"/>
                <w:szCs w:val="21"/>
              </w:rPr>
              <w:t>3.课程来源要求</w:t>
            </w:r>
          </w:p>
        </w:tc>
        <w:tc>
          <w:tcPr>
            <w:tcW w:w="4496" w:type="dxa"/>
            <w:shd w:val="clear" w:color="auto" w:fill="auto"/>
            <w:vAlign w:val="center"/>
          </w:tcPr>
          <w:p w14:paraId="28B6CCE1">
            <w:pPr>
              <w:rPr>
                <w:rFonts w:ascii="宋体" w:hAnsi="宋体" w:eastAsia="宋体" w:cs="宋体"/>
                <w:kern w:val="0"/>
                <w:szCs w:val="21"/>
              </w:rPr>
            </w:pPr>
            <w:r>
              <w:rPr>
                <w:rFonts w:hint="eastAsia" w:ascii="宋体" w:hAnsi="宋体" w:eastAsia="宋体" w:cs="宋体"/>
                <w:kern w:val="0"/>
                <w:szCs w:val="21"/>
              </w:rPr>
              <w:t>（1）课程内容精湛，要求课程为国家级精品在线开放课程。</w:t>
            </w:r>
          </w:p>
          <w:p w14:paraId="6489D2C9">
            <w:pPr>
              <w:rPr>
                <w:rFonts w:hint="eastAsia" w:ascii="宋体" w:hAnsi="宋体" w:eastAsia="宋体" w:cs="宋体"/>
                <w:kern w:val="0"/>
                <w:szCs w:val="21"/>
              </w:rPr>
            </w:pPr>
            <w:r>
              <w:rPr>
                <w:rFonts w:hint="eastAsia" w:ascii="宋体" w:hAnsi="宋体" w:eastAsia="宋体" w:cs="宋体"/>
                <w:kern w:val="0"/>
                <w:szCs w:val="21"/>
              </w:rPr>
              <w:t>（2）供应商已解决课程版权事宜，取得课程的在线运营授权，不给学校带来版权纠纷，不会因为相关争议影响学校正常使用。</w:t>
            </w:r>
          </w:p>
        </w:tc>
        <w:tc>
          <w:tcPr>
            <w:tcW w:w="660" w:type="dxa"/>
            <w:vAlign w:val="center"/>
          </w:tcPr>
          <w:p w14:paraId="03096550">
            <w:pPr>
              <w:pStyle w:val="8"/>
              <w:rPr>
                <w:rFonts w:hint="eastAsia"/>
                <w:kern w:val="0"/>
                <w:szCs w:val="21"/>
              </w:rPr>
            </w:pPr>
          </w:p>
        </w:tc>
      </w:tr>
      <w:tr w14:paraId="7CB0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8" w:type="dxa"/>
            <w:vMerge w:val="continue"/>
            <w:tcBorders/>
            <w:vAlign w:val="center"/>
          </w:tcPr>
          <w:p w14:paraId="4D986370">
            <w:pPr>
              <w:pStyle w:val="8"/>
              <w:rPr>
                <w:rFonts w:hint="eastAsia"/>
                <w:kern w:val="0"/>
                <w:szCs w:val="21"/>
              </w:rPr>
            </w:pPr>
          </w:p>
        </w:tc>
        <w:tc>
          <w:tcPr>
            <w:tcW w:w="1482" w:type="dxa"/>
            <w:vAlign w:val="center"/>
          </w:tcPr>
          <w:p w14:paraId="6A8E7AA8">
            <w:pPr>
              <w:pStyle w:val="8"/>
              <w:rPr>
                <w:rFonts w:hint="eastAsia"/>
                <w:kern w:val="0"/>
                <w:szCs w:val="21"/>
              </w:rPr>
            </w:pPr>
            <w:r>
              <w:rPr>
                <w:rFonts w:hint="eastAsia"/>
                <w:kern w:val="0"/>
                <w:szCs w:val="21"/>
              </w:rPr>
              <w:t>4.课程质量保证要求</w:t>
            </w:r>
          </w:p>
        </w:tc>
        <w:tc>
          <w:tcPr>
            <w:tcW w:w="4496" w:type="dxa"/>
            <w:shd w:val="clear" w:color="auto" w:fill="auto"/>
            <w:vAlign w:val="center"/>
          </w:tcPr>
          <w:p w14:paraId="7B4BFBDE">
            <w:pPr>
              <w:rPr>
                <w:rFonts w:ascii="宋体" w:hAnsi="宋体" w:eastAsia="宋体" w:cs="宋体"/>
                <w:kern w:val="0"/>
                <w:szCs w:val="21"/>
              </w:rPr>
            </w:pPr>
            <w:r>
              <w:rPr>
                <w:rFonts w:hint="eastAsia" w:ascii="宋体" w:hAnsi="宋体" w:eastAsia="宋体" w:cs="宋体"/>
                <w:kern w:val="0"/>
                <w:szCs w:val="21"/>
              </w:rPr>
              <w:t>（1）课程全部经过精细的课程设计，以</w:t>
            </w:r>
            <w:r>
              <w:rPr>
                <w:rFonts w:hint="eastAsia" w:ascii="宋体" w:hAnsi="宋体" w:eastAsia="宋体" w:cs="宋体"/>
                <w:kern w:val="0"/>
                <w:szCs w:val="21"/>
                <w:highlight w:val="none"/>
              </w:rPr>
              <w:t>慕课</w:t>
            </w:r>
            <w:r>
              <w:rPr>
                <w:rFonts w:hint="eastAsia" w:ascii="宋体" w:hAnsi="宋体" w:eastAsia="宋体" w:cs="宋体"/>
                <w:kern w:val="0"/>
                <w:szCs w:val="21"/>
              </w:rPr>
              <w:t>的形式进行线上教学设计，以短视频为主体，辅以作业、考试、讲义等多种形式的辅助教学资源，且课程已经过国内在线教育相关领域专家审核符合在线课程标准。</w:t>
            </w:r>
          </w:p>
          <w:p w14:paraId="2326EC73">
            <w:pPr>
              <w:rPr>
                <w:rFonts w:hint="eastAsia" w:ascii="宋体" w:hAnsi="宋体" w:eastAsia="宋体" w:cs="宋体"/>
                <w:kern w:val="0"/>
                <w:szCs w:val="21"/>
              </w:rPr>
            </w:pPr>
            <w:r>
              <w:rPr>
                <w:rFonts w:hint="eastAsia" w:ascii="宋体" w:hAnsi="宋体" w:eastAsia="宋体" w:cs="宋体"/>
                <w:kern w:val="0"/>
                <w:szCs w:val="21"/>
              </w:rPr>
              <w:t>（2）课程声音清晰无杂音，可在线以720P及以上清晰度流畅播放。</w:t>
            </w:r>
          </w:p>
        </w:tc>
        <w:tc>
          <w:tcPr>
            <w:tcW w:w="660" w:type="dxa"/>
            <w:vAlign w:val="center"/>
          </w:tcPr>
          <w:p w14:paraId="44AC4C24">
            <w:pPr>
              <w:pStyle w:val="8"/>
              <w:rPr>
                <w:rFonts w:hint="eastAsia"/>
                <w:kern w:val="0"/>
                <w:szCs w:val="21"/>
              </w:rPr>
            </w:pPr>
          </w:p>
        </w:tc>
      </w:tr>
      <w:tr w14:paraId="7668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8" w:type="dxa"/>
            <w:vMerge w:val="restart"/>
            <w:vAlign w:val="center"/>
          </w:tcPr>
          <w:p w14:paraId="082B4AED">
            <w:pPr>
              <w:pStyle w:val="8"/>
              <w:rPr>
                <w:rFonts w:hint="eastAsia"/>
                <w:kern w:val="0"/>
                <w:szCs w:val="21"/>
              </w:rPr>
            </w:pPr>
            <w:r>
              <w:rPr>
                <w:rFonts w:hint="eastAsia"/>
                <w:kern w:val="0"/>
                <w:szCs w:val="21"/>
                <w:lang w:val="en-US" w:eastAsia="zh-CN"/>
              </w:rPr>
              <w:t>二</w:t>
            </w:r>
            <w:r>
              <w:rPr>
                <w:rFonts w:hint="eastAsia"/>
                <w:kern w:val="0"/>
                <w:szCs w:val="21"/>
              </w:rPr>
              <w:t>、学校云平台参数</w:t>
            </w:r>
          </w:p>
        </w:tc>
        <w:tc>
          <w:tcPr>
            <w:tcW w:w="1482" w:type="dxa"/>
            <w:vMerge w:val="restart"/>
            <w:vAlign w:val="center"/>
          </w:tcPr>
          <w:p w14:paraId="77F9DE13">
            <w:pPr>
              <w:pStyle w:val="8"/>
              <w:rPr>
                <w:rFonts w:hint="eastAsia"/>
                <w:kern w:val="0"/>
                <w:szCs w:val="21"/>
              </w:rPr>
            </w:pPr>
            <w:r>
              <w:rPr>
                <w:rFonts w:hint="eastAsia"/>
                <w:kern w:val="0"/>
                <w:szCs w:val="21"/>
              </w:rPr>
              <w:t>1.公有云架构</w:t>
            </w:r>
          </w:p>
        </w:tc>
        <w:tc>
          <w:tcPr>
            <w:tcW w:w="4496" w:type="dxa"/>
            <w:shd w:val="clear" w:color="auto" w:fill="auto"/>
            <w:vAlign w:val="center"/>
          </w:tcPr>
          <w:p w14:paraId="33865113">
            <w:pPr>
              <w:pStyle w:val="8"/>
              <w:rPr>
                <w:rFonts w:hint="eastAsia"/>
                <w:kern w:val="0"/>
                <w:szCs w:val="21"/>
              </w:rPr>
            </w:pPr>
            <w:r>
              <w:rPr>
                <w:kern w:val="0"/>
                <w:szCs w:val="21"/>
              </w:rPr>
              <w:t>1. </w:t>
            </w:r>
            <w:r>
              <w:rPr>
                <w:rFonts w:hint="eastAsia" w:ascii="宋体" w:hAnsi="宋体" w:eastAsia="宋体" w:cs="宋体"/>
                <w:color w:val="000000"/>
                <w:kern w:val="0"/>
                <w:szCs w:val="21"/>
              </w:rPr>
              <w:t>平台采用公有云部署的解决方案，通过公有云技术将平台应用封装为SaaS应用实现全站代码公有云部署，将所有业务流程封装在云平台内部，为用户提供端到端云服务。实现基于大规模分布式集群下的智能调度，节点故障无感秒级迁移，自动快照备份数据等。</w:t>
            </w:r>
          </w:p>
        </w:tc>
        <w:tc>
          <w:tcPr>
            <w:tcW w:w="660" w:type="dxa"/>
            <w:vAlign w:val="center"/>
          </w:tcPr>
          <w:p w14:paraId="484620B9">
            <w:pPr>
              <w:pStyle w:val="8"/>
              <w:rPr>
                <w:rFonts w:hint="eastAsia"/>
                <w:kern w:val="0"/>
                <w:szCs w:val="21"/>
              </w:rPr>
            </w:pPr>
          </w:p>
        </w:tc>
      </w:tr>
      <w:tr w14:paraId="63AB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8" w:type="dxa"/>
            <w:vMerge w:val="continue"/>
            <w:vAlign w:val="center"/>
          </w:tcPr>
          <w:p w14:paraId="65B4C4D3">
            <w:pPr>
              <w:pStyle w:val="8"/>
              <w:rPr>
                <w:rFonts w:hint="eastAsia"/>
                <w:kern w:val="0"/>
                <w:szCs w:val="21"/>
              </w:rPr>
            </w:pPr>
          </w:p>
        </w:tc>
        <w:tc>
          <w:tcPr>
            <w:tcW w:w="1482" w:type="dxa"/>
            <w:vMerge w:val="continue"/>
            <w:vAlign w:val="center"/>
          </w:tcPr>
          <w:p w14:paraId="3D7E42C7">
            <w:pPr>
              <w:pStyle w:val="8"/>
              <w:rPr>
                <w:rFonts w:hint="eastAsia"/>
                <w:kern w:val="0"/>
                <w:szCs w:val="21"/>
              </w:rPr>
            </w:pPr>
          </w:p>
        </w:tc>
        <w:tc>
          <w:tcPr>
            <w:tcW w:w="4496" w:type="dxa"/>
            <w:shd w:val="clear" w:color="auto" w:fill="auto"/>
            <w:vAlign w:val="center"/>
          </w:tcPr>
          <w:p w14:paraId="476F17DD">
            <w:pPr>
              <w:rPr>
                <w:rFonts w:ascii="宋体" w:hAnsi="宋体" w:eastAsia="宋体" w:cs="宋体"/>
                <w:color w:val="000000"/>
                <w:kern w:val="0"/>
                <w:szCs w:val="21"/>
              </w:rPr>
            </w:pPr>
            <w:r>
              <w:rPr>
                <w:rFonts w:hint="eastAsia" w:ascii="宋体" w:hAnsi="宋体" w:eastAsia="宋体" w:cs="宋体"/>
                <w:color w:val="000000"/>
                <w:kern w:val="0"/>
                <w:szCs w:val="21"/>
              </w:rPr>
              <w:t>2.使用SaaS服务，系统遵循SaaS的设计学校无需再次安装软件，即可完成在线课程发布、网络学习环境搭建，升级周期时间不低于1月/次。</w:t>
            </w:r>
          </w:p>
        </w:tc>
        <w:tc>
          <w:tcPr>
            <w:tcW w:w="660" w:type="dxa"/>
            <w:vAlign w:val="center"/>
          </w:tcPr>
          <w:p w14:paraId="2D96AB32">
            <w:pPr>
              <w:pStyle w:val="8"/>
              <w:rPr>
                <w:rFonts w:hint="eastAsia"/>
                <w:kern w:val="0"/>
                <w:szCs w:val="21"/>
              </w:rPr>
            </w:pPr>
          </w:p>
        </w:tc>
      </w:tr>
      <w:tr w14:paraId="39F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8" w:type="dxa"/>
            <w:vMerge w:val="continue"/>
            <w:vAlign w:val="center"/>
          </w:tcPr>
          <w:p w14:paraId="696DDC43">
            <w:pPr>
              <w:pStyle w:val="8"/>
              <w:rPr>
                <w:rFonts w:hint="eastAsia"/>
                <w:kern w:val="0"/>
                <w:szCs w:val="21"/>
              </w:rPr>
            </w:pPr>
          </w:p>
        </w:tc>
        <w:tc>
          <w:tcPr>
            <w:tcW w:w="1482" w:type="dxa"/>
            <w:vMerge w:val="continue"/>
            <w:vAlign w:val="center"/>
          </w:tcPr>
          <w:p w14:paraId="744EABA0">
            <w:pPr>
              <w:pStyle w:val="8"/>
              <w:rPr>
                <w:rFonts w:hint="eastAsia"/>
                <w:kern w:val="0"/>
                <w:szCs w:val="21"/>
              </w:rPr>
            </w:pPr>
          </w:p>
        </w:tc>
        <w:tc>
          <w:tcPr>
            <w:tcW w:w="4496" w:type="dxa"/>
            <w:shd w:val="clear" w:color="auto" w:fill="auto"/>
            <w:vAlign w:val="center"/>
          </w:tcPr>
          <w:p w14:paraId="4129687C">
            <w:pPr>
              <w:pStyle w:val="8"/>
              <w:rPr>
                <w:rFonts w:hint="eastAsia"/>
                <w:kern w:val="0"/>
                <w:szCs w:val="21"/>
              </w:rPr>
            </w:pPr>
            <w:r>
              <w:rPr>
                <w:rFonts w:hint="eastAsia"/>
                <w:kern w:val="0"/>
                <w:szCs w:val="21"/>
              </w:rPr>
              <w:t>3.</w:t>
            </w:r>
            <w:r>
              <w:rPr>
                <w:rFonts w:ascii="Segoe UI" w:hAnsi="Segoe UI" w:cs="Segoe UI"/>
                <w:color w:val="404040"/>
              </w:rPr>
              <w:t xml:space="preserve"> </w:t>
            </w:r>
            <w:r>
              <w:rPr>
                <w:rFonts w:hint="eastAsia" w:ascii="宋体" w:hAnsi="宋体" w:eastAsia="宋体" w:cs="宋体"/>
                <w:color w:val="000000"/>
                <w:kern w:val="0"/>
                <w:szCs w:val="21"/>
              </w:rPr>
              <w:t>公有云数据中心拥有独立的平台空间，院校</w:t>
            </w:r>
            <w:r>
              <w:rPr>
                <w:rFonts w:hint="eastAsia" w:ascii="宋体" w:hAnsi="宋体" w:eastAsia="宋体" w:cs="宋体"/>
                <w:color w:val="000000"/>
                <w:kern w:val="0"/>
                <w:szCs w:val="21"/>
                <w:lang w:val="en-US" w:eastAsia="zh-CN"/>
              </w:rPr>
              <w:t>之间</w:t>
            </w:r>
            <w:r>
              <w:rPr>
                <w:rFonts w:hint="eastAsia" w:ascii="宋体" w:hAnsi="宋体" w:eastAsia="宋体" w:cs="宋体"/>
                <w:color w:val="000000"/>
                <w:kern w:val="0"/>
                <w:szCs w:val="21"/>
              </w:rPr>
              <w:t>的平台空间相互独立，数据内容（包含教师、学生的账号数据，学习过程统计数据，课程资源等）是私密的，与其他院校的数据内容互不干扰。只有经过授权的本校教师、学生用户才可以访问本校的数据内容。</w:t>
            </w:r>
          </w:p>
        </w:tc>
        <w:tc>
          <w:tcPr>
            <w:tcW w:w="660" w:type="dxa"/>
            <w:vAlign w:val="center"/>
          </w:tcPr>
          <w:p w14:paraId="700A955E">
            <w:pPr>
              <w:pStyle w:val="8"/>
              <w:rPr>
                <w:rFonts w:hint="eastAsia"/>
                <w:kern w:val="0"/>
                <w:szCs w:val="21"/>
              </w:rPr>
            </w:pPr>
          </w:p>
        </w:tc>
      </w:tr>
      <w:tr w14:paraId="293B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8" w:type="dxa"/>
            <w:vMerge w:val="continue"/>
            <w:vAlign w:val="center"/>
          </w:tcPr>
          <w:p w14:paraId="4E66DED8">
            <w:pPr>
              <w:pStyle w:val="8"/>
              <w:rPr>
                <w:rFonts w:hint="eastAsia"/>
                <w:kern w:val="0"/>
                <w:szCs w:val="21"/>
              </w:rPr>
            </w:pPr>
          </w:p>
        </w:tc>
        <w:tc>
          <w:tcPr>
            <w:tcW w:w="1482" w:type="dxa"/>
            <w:vMerge w:val="continue"/>
            <w:vAlign w:val="center"/>
          </w:tcPr>
          <w:p w14:paraId="0E28CB96">
            <w:pPr>
              <w:pStyle w:val="8"/>
              <w:rPr>
                <w:rFonts w:hint="eastAsia"/>
                <w:kern w:val="0"/>
                <w:szCs w:val="21"/>
              </w:rPr>
            </w:pPr>
          </w:p>
        </w:tc>
        <w:tc>
          <w:tcPr>
            <w:tcW w:w="4496" w:type="dxa"/>
            <w:shd w:val="clear" w:color="auto" w:fill="auto"/>
            <w:vAlign w:val="center"/>
          </w:tcPr>
          <w:p w14:paraId="6211C08A">
            <w:pPr>
              <w:pStyle w:val="8"/>
              <w:rPr>
                <w:rFonts w:hint="eastAsia"/>
                <w:kern w:val="0"/>
                <w:szCs w:val="21"/>
              </w:rPr>
            </w:pPr>
            <w:r>
              <w:rPr>
                <w:rFonts w:hint="eastAsia" w:ascii="宋体" w:hAnsi="宋体" w:eastAsia="宋体" w:cs="宋体"/>
                <w:color w:val="000000"/>
                <w:kern w:val="0"/>
                <w:szCs w:val="21"/>
              </w:rPr>
              <w:t>4.服务器网络及硬件环境</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服务器部署在云平台，易于管理和维护。平台具有成熟完善的监控及运维系统。</w:t>
            </w:r>
          </w:p>
        </w:tc>
        <w:tc>
          <w:tcPr>
            <w:tcW w:w="660" w:type="dxa"/>
            <w:vAlign w:val="center"/>
          </w:tcPr>
          <w:p w14:paraId="54CCD0F9">
            <w:pPr>
              <w:pStyle w:val="8"/>
              <w:rPr>
                <w:rFonts w:hint="eastAsia"/>
                <w:kern w:val="0"/>
                <w:szCs w:val="21"/>
              </w:rPr>
            </w:pPr>
          </w:p>
        </w:tc>
      </w:tr>
      <w:tr w14:paraId="069E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8" w:type="dxa"/>
            <w:vMerge w:val="continue"/>
            <w:vAlign w:val="center"/>
          </w:tcPr>
          <w:p w14:paraId="54C3A7AE">
            <w:pPr>
              <w:pStyle w:val="8"/>
              <w:rPr>
                <w:rFonts w:hint="eastAsia"/>
                <w:kern w:val="0"/>
                <w:szCs w:val="21"/>
              </w:rPr>
            </w:pPr>
          </w:p>
        </w:tc>
        <w:tc>
          <w:tcPr>
            <w:tcW w:w="1482" w:type="dxa"/>
            <w:vMerge w:val="continue"/>
            <w:vAlign w:val="center"/>
          </w:tcPr>
          <w:p w14:paraId="2D5C6E17">
            <w:pPr>
              <w:pStyle w:val="8"/>
              <w:rPr>
                <w:rFonts w:hint="eastAsia"/>
                <w:kern w:val="0"/>
                <w:szCs w:val="21"/>
              </w:rPr>
            </w:pPr>
          </w:p>
        </w:tc>
        <w:tc>
          <w:tcPr>
            <w:tcW w:w="4496" w:type="dxa"/>
            <w:shd w:val="clear" w:color="auto" w:fill="auto"/>
            <w:vAlign w:val="center"/>
          </w:tcPr>
          <w:p w14:paraId="4356655D">
            <w:pPr>
              <w:rPr>
                <w:rFonts w:ascii="宋体" w:hAnsi="宋体" w:eastAsia="宋体" w:cs="宋体"/>
                <w:color w:val="000000"/>
                <w:kern w:val="0"/>
                <w:szCs w:val="21"/>
              </w:rPr>
            </w:pPr>
            <w:r>
              <w:rPr>
                <w:rFonts w:hint="eastAsia" w:ascii="宋体" w:hAnsi="宋体" w:eastAsia="宋体" w:cs="宋体"/>
                <w:color w:val="000000"/>
                <w:kern w:val="0"/>
                <w:szCs w:val="21"/>
              </w:rPr>
              <w:t>5.公有云服务器具有高稳定性且易于水平扩展，支持海量并发请求且有效保证平台的高可用性</w:t>
            </w:r>
            <w:r>
              <w:rPr>
                <w:kern w:val="0"/>
                <w:szCs w:val="21"/>
              </w:rPr>
              <w:t>。</w:t>
            </w:r>
          </w:p>
        </w:tc>
        <w:tc>
          <w:tcPr>
            <w:tcW w:w="660" w:type="dxa"/>
            <w:vAlign w:val="center"/>
          </w:tcPr>
          <w:p w14:paraId="19B5A2B4">
            <w:pPr>
              <w:pStyle w:val="8"/>
              <w:rPr>
                <w:rFonts w:hint="eastAsia"/>
                <w:kern w:val="0"/>
                <w:szCs w:val="21"/>
              </w:rPr>
            </w:pPr>
          </w:p>
        </w:tc>
      </w:tr>
      <w:tr w14:paraId="62C3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336DC1F8">
            <w:pPr>
              <w:pStyle w:val="8"/>
              <w:rPr>
                <w:rFonts w:hint="eastAsia"/>
                <w:kern w:val="0"/>
                <w:szCs w:val="21"/>
              </w:rPr>
            </w:pPr>
          </w:p>
        </w:tc>
        <w:tc>
          <w:tcPr>
            <w:tcW w:w="1482" w:type="dxa"/>
            <w:vMerge w:val="continue"/>
            <w:vAlign w:val="center"/>
          </w:tcPr>
          <w:p w14:paraId="32FF13DC">
            <w:pPr>
              <w:pStyle w:val="8"/>
              <w:rPr>
                <w:rFonts w:hint="eastAsia"/>
                <w:kern w:val="0"/>
                <w:szCs w:val="21"/>
              </w:rPr>
            </w:pPr>
          </w:p>
        </w:tc>
        <w:tc>
          <w:tcPr>
            <w:tcW w:w="4496" w:type="dxa"/>
            <w:shd w:val="clear" w:color="auto" w:fill="auto"/>
            <w:vAlign w:val="center"/>
          </w:tcPr>
          <w:p w14:paraId="1BB42F43">
            <w:pPr>
              <w:pStyle w:val="8"/>
              <w:rPr>
                <w:rFonts w:hint="eastAsia"/>
                <w:kern w:val="0"/>
                <w:szCs w:val="21"/>
              </w:rPr>
            </w:pPr>
            <w:r>
              <w:rPr>
                <w:rFonts w:hint="eastAsia"/>
                <w:kern w:val="0"/>
                <w:szCs w:val="21"/>
              </w:rPr>
              <w:t>6</w:t>
            </w:r>
            <w:r>
              <w:rPr>
                <w:kern w:val="0"/>
                <w:szCs w:val="21"/>
              </w:rPr>
              <w:t>. </w:t>
            </w:r>
            <w:r>
              <w:rPr>
                <w:rFonts w:hint="eastAsia" w:ascii="宋体" w:hAnsi="宋体" w:eastAsia="宋体" w:cs="宋体"/>
                <w:color w:val="000000"/>
                <w:kern w:val="0"/>
                <w:szCs w:val="21"/>
              </w:rPr>
              <w:t>服务器有独立的ICP机房，统一管理，出口带宽独立</w:t>
            </w:r>
            <w:r>
              <w:rPr>
                <w:kern w:val="0"/>
                <w:szCs w:val="21"/>
              </w:rPr>
              <w:t>。</w:t>
            </w:r>
          </w:p>
        </w:tc>
        <w:tc>
          <w:tcPr>
            <w:tcW w:w="660" w:type="dxa"/>
            <w:vAlign w:val="center"/>
          </w:tcPr>
          <w:p w14:paraId="2D0CFE07">
            <w:pPr>
              <w:pStyle w:val="8"/>
              <w:rPr>
                <w:rFonts w:hint="eastAsia"/>
                <w:kern w:val="0"/>
                <w:szCs w:val="21"/>
              </w:rPr>
            </w:pPr>
          </w:p>
        </w:tc>
      </w:tr>
      <w:tr w14:paraId="1806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73FE48F5">
            <w:pPr>
              <w:pStyle w:val="8"/>
              <w:rPr>
                <w:rFonts w:hint="eastAsia"/>
                <w:kern w:val="0"/>
                <w:szCs w:val="21"/>
              </w:rPr>
            </w:pPr>
          </w:p>
        </w:tc>
        <w:tc>
          <w:tcPr>
            <w:tcW w:w="1482" w:type="dxa"/>
            <w:vMerge w:val="continue"/>
            <w:vAlign w:val="center"/>
          </w:tcPr>
          <w:p w14:paraId="35525FA1">
            <w:pPr>
              <w:pStyle w:val="8"/>
              <w:rPr>
                <w:rFonts w:hint="eastAsia"/>
                <w:kern w:val="0"/>
                <w:szCs w:val="21"/>
              </w:rPr>
            </w:pPr>
          </w:p>
        </w:tc>
        <w:tc>
          <w:tcPr>
            <w:tcW w:w="4496" w:type="dxa"/>
            <w:shd w:val="clear" w:color="auto" w:fill="auto"/>
            <w:vAlign w:val="center"/>
          </w:tcPr>
          <w:p w14:paraId="15D38415">
            <w:pPr>
              <w:pStyle w:val="8"/>
              <w:rPr>
                <w:rFonts w:hint="eastAsia"/>
                <w:kern w:val="0"/>
                <w:szCs w:val="21"/>
              </w:rPr>
            </w:pPr>
            <w:r>
              <w:rPr>
                <w:rFonts w:hint="eastAsia"/>
                <w:kern w:val="0"/>
                <w:szCs w:val="21"/>
              </w:rPr>
              <w:t>7</w:t>
            </w:r>
            <w:r>
              <w:rPr>
                <w:kern w:val="0"/>
                <w:szCs w:val="21"/>
              </w:rPr>
              <w:t>. </w:t>
            </w:r>
            <w:r>
              <w:rPr>
                <w:rFonts w:hint="eastAsia" w:ascii="宋体" w:hAnsi="宋体" w:eastAsia="宋体" w:cs="宋体"/>
                <w:color w:val="000000"/>
                <w:kern w:val="0"/>
                <w:szCs w:val="21"/>
              </w:rPr>
              <w:t>机房使用标准规格的机架式服务器，无需应用人员额外设计服务器部署方案</w:t>
            </w:r>
            <w:r>
              <w:rPr>
                <w:kern w:val="0"/>
                <w:szCs w:val="21"/>
              </w:rPr>
              <w:t>。</w:t>
            </w:r>
          </w:p>
        </w:tc>
        <w:tc>
          <w:tcPr>
            <w:tcW w:w="660" w:type="dxa"/>
            <w:vAlign w:val="center"/>
          </w:tcPr>
          <w:p w14:paraId="5075C8E5">
            <w:pPr>
              <w:pStyle w:val="8"/>
              <w:rPr>
                <w:rFonts w:hint="eastAsia"/>
                <w:kern w:val="0"/>
                <w:szCs w:val="21"/>
              </w:rPr>
            </w:pPr>
          </w:p>
        </w:tc>
      </w:tr>
      <w:tr w14:paraId="61A5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5F8EAE14">
            <w:pPr>
              <w:pStyle w:val="8"/>
              <w:rPr>
                <w:rFonts w:hint="eastAsia"/>
                <w:kern w:val="0"/>
                <w:szCs w:val="21"/>
              </w:rPr>
            </w:pPr>
          </w:p>
        </w:tc>
        <w:tc>
          <w:tcPr>
            <w:tcW w:w="1482" w:type="dxa"/>
            <w:vMerge w:val="continue"/>
            <w:vAlign w:val="center"/>
          </w:tcPr>
          <w:p w14:paraId="0E44F13B">
            <w:pPr>
              <w:pStyle w:val="8"/>
              <w:rPr>
                <w:rFonts w:hint="eastAsia"/>
                <w:kern w:val="0"/>
                <w:szCs w:val="21"/>
              </w:rPr>
            </w:pPr>
          </w:p>
        </w:tc>
        <w:tc>
          <w:tcPr>
            <w:tcW w:w="4496" w:type="dxa"/>
            <w:shd w:val="clear" w:color="auto" w:fill="auto"/>
            <w:vAlign w:val="center"/>
          </w:tcPr>
          <w:p w14:paraId="756FB1D7">
            <w:pPr>
              <w:pStyle w:val="8"/>
              <w:rPr>
                <w:rFonts w:hint="eastAsia"/>
                <w:kern w:val="0"/>
                <w:szCs w:val="21"/>
              </w:rPr>
            </w:pPr>
            <w:r>
              <w:rPr>
                <w:rFonts w:hint="eastAsia"/>
                <w:kern w:val="0"/>
                <w:szCs w:val="21"/>
              </w:rPr>
              <w:t>8</w:t>
            </w:r>
            <w:r>
              <w:rPr>
                <w:kern w:val="0"/>
                <w:szCs w:val="21"/>
              </w:rPr>
              <w:t>. </w:t>
            </w:r>
            <w:r>
              <w:rPr>
                <w:rFonts w:hint="eastAsia" w:ascii="宋体" w:hAnsi="宋体" w:eastAsia="宋体" w:cs="宋体"/>
                <w:color w:val="000000"/>
                <w:kern w:val="0"/>
                <w:szCs w:val="21"/>
              </w:rPr>
              <w:t>机房采用BGP方案实现移动、电信、联通、教育网等不同网络运营商的多线互联，当用户访问网站时，自动根据实际情况选择访问速度最快的线路，达到最佳的访问速度，提升网站的服务质量</w:t>
            </w:r>
            <w:r>
              <w:rPr>
                <w:kern w:val="0"/>
                <w:szCs w:val="21"/>
              </w:rPr>
              <w:t>。</w:t>
            </w:r>
          </w:p>
        </w:tc>
        <w:tc>
          <w:tcPr>
            <w:tcW w:w="660" w:type="dxa"/>
            <w:vAlign w:val="center"/>
          </w:tcPr>
          <w:p w14:paraId="587B0A0E">
            <w:pPr>
              <w:pStyle w:val="8"/>
              <w:rPr>
                <w:rFonts w:hint="eastAsia"/>
                <w:kern w:val="0"/>
                <w:szCs w:val="21"/>
              </w:rPr>
            </w:pPr>
          </w:p>
        </w:tc>
      </w:tr>
      <w:tr w14:paraId="767D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4DBC08ED">
            <w:pPr>
              <w:pStyle w:val="8"/>
              <w:rPr>
                <w:rFonts w:hint="eastAsia"/>
                <w:kern w:val="0"/>
                <w:szCs w:val="21"/>
              </w:rPr>
            </w:pPr>
          </w:p>
        </w:tc>
        <w:tc>
          <w:tcPr>
            <w:tcW w:w="1482" w:type="dxa"/>
            <w:vMerge w:val="continue"/>
            <w:vAlign w:val="center"/>
          </w:tcPr>
          <w:p w14:paraId="28FFC6CB">
            <w:pPr>
              <w:pStyle w:val="8"/>
              <w:rPr>
                <w:rFonts w:hint="eastAsia"/>
                <w:kern w:val="0"/>
                <w:szCs w:val="21"/>
              </w:rPr>
            </w:pPr>
          </w:p>
        </w:tc>
        <w:tc>
          <w:tcPr>
            <w:tcW w:w="4496" w:type="dxa"/>
            <w:shd w:val="clear" w:color="auto" w:fill="auto"/>
            <w:vAlign w:val="center"/>
          </w:tcPr>
          <w:p w14:paraId="65087674">
            <w:pPr>
              <w:pStyle w:val="8"/>
              <w:rPr>
                <w:rFonts w:hint="eastAsia"/>
                <w:kern w:val="0"/>
                <w:szCs w:val="21"/>
              </w:rPr>
            </w:pPr>
            <w:r>
              <w:rPr>
                <w:rFonts w:hint="eastAsia"/>
                <w:kern w:val="0"/>
                <w:szCs w:val="21"/>
              </w:rPr>
              <w:t>9</w:t>
            </w:r>
            <w:r>
              <w:rPr>
                <w:kern w:val="0"/>
                <w:szCs w:val="21"/>
              </w:rPr>
              <w:t>. </w:t>
            </w:r>
            <w:r>
              <w:rPr>
                <w:rFonts w:hint="eastAsia" w:ascii="宋体" w:hAnsi="宋体" w:eastAsia="宋体" w:cs="宋体"/>
                <w:color w:val="000000"/>
                <w:kern w:val="0"/>
                <w:szCs w:val="21"/>
              </w:rPr>
              <w:t>平台的管理界面采用浏览器方式,管理界面简明易用，交互设计符合一流互联网产品标准，管理人员不需要具有较多的计算机知识。客户端采用浏览器操作，无客户端插件，支持用户各种主流浏览器</w:t>
            </w:r>
            <w:r>
              <w:rPr>
                <w:kern w:val="0"/>
                <w:szCs w:val="21"/>
              </w:rPr>
              <w:t>。</w:t>
            </w:r>
          </w:p>
        </w:tc>
        <w:tc>
          <w:tcPr>
            <w:tcW w:w="660" w:type="dxa"/>
            <w:vAlign w:val="center"/>
          </w:tcPr>
          <w:p w14:paraId="0C18EA74">
            <w:pPr>
              <w:pStyle w:val="8"/>
              <w:rPr>
                <w:rFonts w:hint="eastAsia"/>
                <w:kern w:val="0"/>
                <w:szCs w:val="21"/>
              </w:rPr>
            </w:pPr>
          </w:p>
        </w:tc>
      </w:tr>
      <w:tr w14:paraId="075C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35775416">
            <w:pPr>
              <w:pStyle w:val="8"/>
              <w:rPr>
                <w:rFonts w:hint="eastAsia"/>
                <w:kern w:val="0"/>
                <w:szCs w:val="21"/>
              </w:rPr>
            </w:pPr>
          </w:p>
        </w:tc>
        <w:tc>
          <w:tcPr>
            <w:tcW w:w="1482" w:type="dxa"/>
            <w:vMerge w:val="continue"/>
            <w:vAlign w:val="center"/>
          </w:tcPr>
          <w:p w14:paraId="539E853D">
            <w:pPr>
              <w:pStyle w:val="8"/>
              <w:rPr>
                <w:rFonts w:hint="eastAsia"/>
                <w:kern w:val="0"/>
                <w:szCs w:val="21"/>
              </w:rPr>
            </w:pPr>
          </w:p>
        </w:tc>
        <w:tc>
          <w:tcPr>
            <w:tcW w:w="4496" w:type="dxa"/>
            <w:shd w:val="clear" w:color="auto" w:fill="auto"/>
            <w:vAlign w:val="center"/>
          </w:tcPr>
          <w:p w14:paraId="72D2F451">
            <w:pPr>
              <w:pStyle w:val="8"/>
              <w:rPr>
                <w:rFonts w:hint="eastAsia"/>
                <w:kern w:val="0"/>
                <w:szCs w:val="21"/>
              </w:rPr>
            </w:pPr>
            <w:r>
              <w:rPr>
                <w:rFonts w:hint="eastAsia" w:ascii="宋体" w:hAnsi="宋体" w:eastAsia="宋体" w:cs="宋体"/>
                <w:color w:val="000000"/>
                <w:kern w:val="0"/>
                <w:szCs w:val="21"/>
              </w:rPr>
              <w:t>10.提供文件转换功能,具有视频、文档格式自动转换、码流自动转换的功能，适应不同的访问终端（Web、Android，iOS）；所有文档资源支持在线预览，视频类资源系统自动转码，平台运行的高校课程资源和国家级精品课程（或线上一流课程）必须免费向社会学习者开放全部教学内容。</w:t>
            </w:r>
          </w:p>
        </w:tc>
        <w:tc>
          <w:tcPr>
            <w:tcW w:w="660" w:type="dxa"/>
            <w:vAlign w:val="center"/>
          </w:tcPr>
          <w:p w14:paraId="0C888E9D">
            <w:pPr>
              <w:pStyle w:val="8"/>
              <w:rPr>
                <w:rFonts w:hint="eastAsia"/>
                <w:kern w:val="0"/>
                <w:szCs w:val="21"/>
              </w:rPr>
            </w:pPr>
          </w:p>
        </w:tc>
      </w:tr>
      <w:tr w14:paraId="40F6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restart"/>
            <w:vAlign w:val="center"/>
          </w:tcPr>
          <w:p w14:paraId="5A8BA3BB">
            <w:pPr>
              <w:pStyle w:val="8"/>
              <w:rPr>
                <w:rFonts w:hint="eastAsia"/>
                <w:kern w:val="0"/>
                <w:szCs w:val="21"/>
              </w:rPr>
            </w:pPr>
            <w:r>
              <w:rPr>
                <w:rFonts w:hint="eastAsia"/>
                <w:kern w:val="0"/>
                <w:szCs w:val="21"/>
                <w:lang w:val="en-US" w:eastAsia="zh-CN"/>
              </w:rPr>
              <w:t>三</w:t>
            </w:r>
            <w:r>
              <w:rPr>
                <w:kern w:val="0"/>
                <w:szCs w:val="21"/>
              </w:rPr>
              <w:t>、平台性能与质量</w:t>
            </w:r>
            <w:r>
              <w:rPr>
                <w:rFonts w:hint="eastAsia"/>
                <w:kern w:val="0"/>
                <w:szCs w:val="21"/>
              </w:rPr>
              <w:t>要求</w:t>
            </w:r>
          </w:p>
        </w:tc>
        <w:tc>
          <w:tcPr>
            <w:tcW w:w="1482" w:type="dxa"/>
            <w:vAlign w:val="center"/>
          </w:tcPr>
          <w:p w14:paraId="312532E3">
            <w:pPr>
              <w:pStyle w:val="8"/>
              <w:rPr>
                <w:rFonts w:hint="eastAsia"/>
                <w:kern w:val="0"/>
                <w:szCs w:val="21"/>
              </w:rPr>
            </w:pPr>
            <w:r>
              <w:rPr>
                <w:rFonts w:hint="eastAsia" w:ascii="宋体" w:hAnsi="宋体" w:eastAsia="宋体" w:cs="宋体"/>
                <w:color w:val="000000"/>
                <w:kern w:val="0"/>
                <w:szCs w:val="21"/>
              </w:rPr>
              <w:t>1.慕课运行平台质量标准</w:t>
            </w:r>
          </w:p>
        </w:tc>
        <w:tc>
          <w:tcPr>
            <w:tcW w:w="4496" w:type="dxa"/>
            <w:shd w:val="clear" w:color="auto" w:fill="auto"/>
            <w:vAlign w:val="center"/>
          </w:tcPr>
          <w:p w14:paraId="51A050E3">
            <w:pPr>
              <w:rPr>
                <w:rFonts w:ascii="宋体" w:hAnsi="宋体" w:eastAsia="宋体" w:cs="宋体"/>
                <w:color w:val="000000"/>
                <w:kern w:val="0"/>
                <w:szCs w:val="21"/>
              </w:rPr>
            </w:pPr>
            <w:r>
              <w:rPr>
                <w:rFonts w:hint="eastAsia" w:ascii="宋体" w:hAnsi="宋体" w:eastAsia="宋体" w:cs="宋体"/>
                <w:color w:val="000000"/>
                <w:kern w:val="0"/>
                <w:szCs w:val="21"/>
              </w:rPr>
              <w:t>慕课运行平台的质量符合以下质量标准：GB/T 25000.51-2016《系统与软件工程 系统与软件质量要求和评价（SQuaRE） 第 51 部分：就绪可用软件产品（RUSP）的质量要求和测试细则》</w:t>
            </w:r>
          </w:p>
        </w:tc>
        <w:tc>
          <w:tcPr>
            <w:tcW w:w="660" w:type="dxa"/>
            <w:vAlign w:val="center"/>
          </w:tcPr>
          <w:p w14:paraId="2A1041A2">
            <w:pPr>
              <w:pStyle w:val="8"/>
              <w:rPr>
                <w:rFonts w:hint="eastAsia"/>
                <w:kern w:val="0"/>
                <w:szCs w:val="21"/>
              </w:rPr>
            </w:pPr>
            <w:r>
              <w:rPr>
                <w:rFonts w:hint="eastAsia"/>
                <w:kern w:val="0"/>
                <w:szCs w:val="21"/>
              </w:rPr>
              <w:t>▲</w:t>
            </w:r>
          </w:p>
        </w:tc>
      </w:tr>
      <w:tr w14:paraId="7251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551B543B">
            <w:pPr>
              <w:pStyle w:val="8"/>
              <w:rPr>
                <w:rFonts w:hint="eastAsia"/>
                <w:kern w:val="0"/>
                <w:szCs w:val="21"/>
              </w:rPr>
            </w:pPr>
          </w:p>
        </w:tc>
        <w:tc>
          <w:tcPr>
            <w:tcW w:w="1482" w:type="dxa"/>
            <w:vAlign w:val="center"/>
          </w:tcPr>
          <w:p w14:paraId="0CA51A20">
            <w:pPr>
              <w:pStyle w:val="8"/>
              <w:rPr>
                <w:rFonts w:hint="eastAsia"/>
                <w:kern w:val="0"/>
                <w:szCs w:val="21"/>
              </w:rPr>
            </w:pPr>
            <w:r>
              <w:rPr>
                <w:rFonts w:hint="eastAsia" w:ascii="宋体" w:hAnsi="宋体" w:eastAsia="宋体" w:cs="宋体"/>
                <w:color w:val="000000"/>
                <w:kern w:val="0"/>
                <w:szCs w:val="21"/>
              </w:rPr>
              <w:t>2.平台性能要求</w:t>
            </w:r>
          </w:p>
        </w:tc>
        <w:tc>
          <w:tcPr>
            <w:tcW w:w="4496" w:type="dxa"/>
            <w:shd w:val="clear" w:color="auto" w:fill="auto"/>
            <w:vAlign w:val="center"/>
          </w:tcPr>
          <w:tbl>
            <w:tblPr>
              <w:tblStyle w:val="9"/>
              <w:tblW w:w="0" w:type="auto"/>
              <w:tblInd w:w="0" w:type="dxa"/>
              <w:tblLayout w:type="autofit"/>
              <w:tblCellMar>
                <w:top w:w="15" w:type="dxa"/>
                <w:left w:w="15" w:type="dxa"/>
                <w:bottom w:w="15" w:type="dxa"/>
                <w:right w:w="15" w:type="dxa"/>
              </w:tblCellMar>
            </w:tblPr>
            <w:tblGrid>
              <w:gridCol w:w="4280"/>
            </w:tblGrid>
            <w:tr w14:paraId="430873B2">
              <w:tc>
                <w:tcPr>
                  <w:tcW w:w="0" w:type="auto"/>
                  <w:vAlign w:val="center"/>
                </w:tcPr>
                <w:p w14:paraId="5B45BDF5">
                  <w:pPr>
                    <w:widowControl/>
                    <w:jc w:val="left"/>
                    <w:rPr>
                      <w:rFonts w:ascii="Segoe UI" w:hAnsi="Segoe UI" w:eastAsia="宋体" w:cs="Segoe UI"/>
                      <w:color w:val="404040"/>
                      <w:kern w:val="0"/>
                      <w:sz w:val="24"/>
                    </w:rPr>
                  </w:pPr>
                  <w:r>
                    <w:rPr>
                      <w:rFonts w:hint="eastAsia" w:ascii="宋体" w:hAnsi="宋体" w:eastAsia="宋体" w:cs="宋体"/>
                      <w:color w:val="000000"/>
                      <w:szCs w:val="21"/>
                      <w:lang w:val="en-US" w:eastAsia="zh-CN"/>
                    </w:rPr>
                    <w:t>平台</w:t>
                  </w:r>
                  <w:r>
                    <w:rPr>
                      <w:rFonts w:hint="eastAsia" w:ascii="宋体" w:hAnsi="宋体" w:eastAsia="宋体" w:cs="宋体"/>
                      <w:color w:val="000000"/>
                      <w:szCs w:val="21"/>
                    </w:rPr>
                    <w:t>支持并发连接数不低于8000，TPS单接口每秒并发响应800个请求，查询/读书数据的响应时间达到毫秒级</w:t>
                  </w:r>
                  <w:r>
                    <w:rPr>
                      <w:rFonts w:hint="eastAsia" w:ascii="宋体" w:hAnsi="宋体" w:eastAsia="宋体" w:cs="宋体"/>
                      <w:color w:val="000000"/>
                      <w:szCs w:val="21"/>
                      <w:lang w:eastAsia="zh-CN"/>
                    </w:rPr>
                    <w:t>，</w:t>
                  </w:r>
                  <w:r>
                    <w:rPr>
                      <w:rFonts w:hint="eastAsia" w:ascii="宋体" w:hAnsi="宋体" w:eastAsia="宋体" w:cs="宋体"/>
                      <w:color w:val="000000"/>
                      <w:szCs w:val="21"/>
                    </w:rPr>
                    <w:t>提供相关证明材料。</w:t>
                  </w:r>
                </w:p>
              </w:tc>
            </w:tr>
          </w:tbl>
          <w:p w14:paraId="50524C4C">
            <w:pPr>
              <w:pStyle w:val="8"/>
              <w:rPr>
                <w:rFonts w:hint="eastAsia"/>
                <w:kern w:val="0"/>
                <w:szCs w:val="21"/>
              </w:rPr>
            </w:pPr>
          </w:p>
        </w:tc>
        <w:tc>
          <w:tcPr>
            <w:tcW w:w="660" w:type="dxa"/>
            <w:vAlign w:val="center"/>
          </w:tcPr>
          <w:p w14:paraId="2BC09535">
            <w:pPr>
              <w:pStyle w:val="8"/>
              <w:rPr>
                <w:rFonts w:hint="eastAsia"/>
                <w:kern w:val="0"/>
                <w:szCs w:val="21"/>
              </w:rPr>
            </w:pPr>
            <w:r>
              <w:rPr>
                <w:rFonts w:hint="eastAsia"/>
                <w:kern w:val="0"/>
                <w:szCs w:val="21"/>
              </w:rPr>
              <w:t>▲</w:t>
            </w:r>
          </w:p>
        </w:tc>
      </w:tr>
      <w:tr w14:paraId="76CE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7E71EBD9">
            <w:pPr>
              <w:pStyle w:val="8"/>
              <w:rPr>
                <w:rFonts w:hint="eastAsia"/>
                <w:kern w:val="0"/>
                <w:szCs w:val="21"/>
              </w:rPr>
            </w:pPr>
          </w:p>
        </w:tc>
        <w:tc>
          <w:tcPr>
            <w:tcW w:w="1482" w:type="dxa"/>
            <w:vAlign w:val="center"/>
          </w:tcPr>
          <w:p w14:paraId="7969354D">
            <w:pPr>
              <w:pStyle w:val="8"/>
              <w:rPr>
                <w:rFonts w:hint="eastAsia"/>
                <w:kern w:val="0"/>
                <w:szCs w:val="21"/>
              </w:rPr>
            </w:pPr>
            <w:r>
              <w:rPr>
                <w:rFonts w:hint="eastAsia"/>
                <w:kern w:val="0"/>
                <w:szCs w:val="21"/>
              </w:rPr>
              <w:t>3.平台课程资源要求</w:t>
            </w:r>
          </w:p>
        </w:tc>
        <w:tc>
          <w:tcPr>
            <w:tcW w:w="4496" w:type="dxa"/>
            <w:shd w:val="clear" w:color="auto" w:fill="auto"/>
            <w:vAlign w:val="center"/>
          </w:tcPr>
          <w:tbl>
            <w:tblPr>
              <w:tblStyle w:val="9"/>
              <w:tblW w:w="0" w:type="auto"/>
              <w:tblInd w:w="0" w:type="dxa"/>
              <w:tblLayout w:type="autofit"/>
              <w:tblCellMar>
                <w:top w:w="15" w:type="dxa"/>
                <w:left w:w="15" w:type="dxa"/>
                <w:bottom w:w="15" w:type="dxa"/>
                <w:right w:w="15" w:type="dxa"/>
              </w:tblCellMar>
            </w:tblPr>
            <w:tblGrid>
              <w:gridCol w:w="4280"/>
            </w:tblGrid>
            <w:tr w14:paraId="7B23454F">
              <w:tblPrEx>
                <w:tblCellMar>
                  <w:top w:w="15" w:type="dxa"/>
                  <w:left w:w="15" w:type="dxa"/>
                  <w:bottom w:w="15" w:type="dxa"/>
                  <w:right w:w="15" w:type="dxa"/>
                </w:tblCellMar>
              </w:tblPrEx>
              <w:tc>
                <w:tcPr>
                  <w:tcW w:w="0" w:type="auto"/>
                  <w:vAlign w:val="center"/>
                </w:tcPr>
                <w:p w14:paraId="7CE1E1DF">
                  <w:pPr>
                    <w:rPr>
                      <w:rFonts w:ascii="宋体" w:hAnsi="宋体" w:eastAsia="宋体" w:cs="宋体"/>
                      <w:color w:val="000000"/>
                      <w:szCs w:val="21"/>
                    </w:rPr>
                  </w:pPr>
                  <w:r>
                    <w:rPr>
                      <w:rFonts w:hint="eastAsia" w:ascii="宋体" w:hAnsi="宋体" w:eastAsia="宋体" w:cs="宋体"/>
                      <w:color w:val="000000"/>
                      <w:szCs w:val="21"/>
                    </w:rPr>
                    <w:t>1）MOOC课程数量14000门。</w:t>
                  </w:r>
                </w:p>
                <w:p w14:paraId="13F92391">
                  <w:pPr>
                    <w:rPr>
                      <w:rFonts w:ascii="宋体" w:hAnsi="宋体" w:eastAsia="宋体" w:cs="宋体"/>
                      <w:color w:val="000000"/>
                      <w:szCs w:val="21"/>
                    </w:rPr>
                  </w:pPr>
                  <w:r>
                    <w:rPr>
                      <w:rFonts w:hint="eastAsia" w:ascii="宋体" w:hAnsi="宋体" w:eastAsia="宋体" w:cs="宋体"/>
                      <w:color w:val="000000"/>
                      <w:szCs w:val="21"/>
                    </w:rPr>
                    <w:t>2）运行平台上经过评定的国家精品在线开放课程不少于2000门。</w:t>
                  </w:r>
                </w:p>
              </w:tc>
            </w:tr>
          </w:tbl>
          <w:p w14:paraId="1C43F56F">
            <w:pPr>
              <w:pStyle w:val="8"/>
              <w:rPr>
                <w:rFonts w:hint="eastAsia"/>
                <w:kern w:val="0"/>
                <w:szCs w:val="21"/>
              </w:rPr>
            </w:pPr>
          </w:p>
        </w:tc>
        <w:tc>
          <w:tcPr>
            <w:tcW w:w="660" w:type="dxa"/>
            <w:vAlign w:val="center"/>
          </w:tcPr>
          <w:p w14:paraId="02EA9FC7">
            <w:pPr>
              <w:pStyle w:val="8"/>
              <w:rPr>
                <w:rFonts w:hint="eastAsia"/>
                <w:kern w:val="0"/>
                <w:szCs w:val="21"/>
              </w:rPr>
            </w:pPr>
            <w:r>
              <w:rPr>
                <w:rFonts w:hint="eastAsia"/>
                <w:kern w:val="0"/>
                <w:szCs w:val="21"/>
              </w:rPr>
              <w:t>▲</w:t>
            </w:r>
          </w:p>
        </w:tc>
      </w:tr>
      <w:tr w14:paraId="190B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restart"/>
            <w:vAlign w:val="center"/>
          </w:tcPr>
          <w:p w14:paraId="4AC9B5E5">
            <w:pPr>
              <w:pStyle w:val="8"/>
              <w:rPr>
                <w:rFonts w:hint="eastAsia"/>
                <w:kern w:val="0"/>
                <w:szCs w:val="21"/>
              </w:rPr>
            </w:pPr>
            <w:r>
              <w:rPr>
                <w:rFonts w:hint="eastAsia"/>
                <w:kern w:val="0"/>
                <w:szCs w:val="21"/>
                <w:lang w:val="en-US" w:eastAsia="zh-CN"/>
              </w:rPr>
              <w:t>四</w:t>
            </w:r>
            <w:r>
              <w:rPr>
                <w:kern w:val="0"/>
                <w:szCs w:val="21"/>
              </w:rPr>
              <w:t>、线上教学模块</w:t>
            </w:r>
          </w:p>
        </w:tc>
        <w:tc>
          <w:tcPr>
            <w:tcW w:w="1482" w:type="dxa"/>
            <w:vAlign w:val="center"/>
          </w:tcPr>
          <w:p w14:paraId="52528F69">
            <w:pPr>
              <w:pStyle w:val="8"/>
              <w:rPr>
                <w:rFonts w:hint="eastAsia"/>
                <w:kern w:val="0"/>
                <w:szCs w:val="21"/>
              </w:rPr>
            </w:pPr>
            <w:r>
              <w:rPr>
                <w:rFonts w:hint="eastAsia"/>
                <w:kern w:val="0"/>
                <w:szCs w:val="21"/>
              </w:rPr>
              <w:t>1.</w:t>
            </w:r>
            <w:r>
              <w:rPr>
                <w:kern w:val="0"/>
                <w:szCs w:val="21"/>
              </w:rPr>
              <w:t xml:space="preserve"> 支持</w:t>
            </w:r>
            <w:r>
              <w:rPr>
                <w:rFonts w:hint="eastAsia"/>
                <w:kern w:val="0"/>
                <w:szCs w:val="21"/>
              </w:rPr>
              <w:t>用户登录功能</w:t>
            </w:r>
          </w:p>
        </w:tc>
        <w:tc>
          <w:tcPr>
            <w:tcW w:w="4496" w:type="dxa"/>
            <w:shd w:val="clear" w:color="auto" w:fill="auto"/>
            <w:vAlign w:val="center"/>
          </w:tcPr>
          <w:p w14:paraId="426DB203">
            <w:pP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支持多种</w:t>
            </w:r>
            <w:r>
              <w:rPr>
                <w:rFonts w:hint="eastAsia" w:ascii="宋体" w:hAnsi="宋体" w:eastAsia="宋体" w:cs="宋体"/>
                <w:color w:val="000000"/>
                <w:kern w:val="0"/>
                <w:szCs w:val="21"/>
              </w:rPr>
              <w:t>登录方式，含邮箱、QQ、微博、人人网手机、微信。</w:t>
            </w:r>
          </w:p>
          <w:p w14:paraId="5736C62A">
            <w:pPr>
              <w:rPr>
                <w:rFonts w:ascii="宋体" w:hAnsi="宋体" w:eastAsia="宋体" w:cs="宋体"/>
                <w:color w:val="000000"/>
                <w:kern w:val="0"/>
                <w:szCs w:val="21"/>
              </w:rPr>
            </w:pPr>
            <w:r>
              <w:rPr>
                <w:rFonts w:hint="eastAsia" w:ascii="宋体" w:hAnsi="宋体" w:eastAsia="宋体" w:cs="宋体"/>
                <w:color w:val="000000"/>
                <w:kern w:val="0"/>
                <w:szCs w:val="21"/>
              </w:rPr>
              <w:t>2）统一身份认证：针对校内在籍学生，学号和密码（管理员在后台导入学号，学生在前台激活）。</w:t>
            </w:r>
          </w:p>
          <w:p w14:paraId="43A79A61">
            <w:pPr>
              <w:rPr>
                <w:rFonts w:ascii="宋体" w:hAnsi="宋体" w:eastAsia="宋体" w:cs="宋体"/>
                <w:color w:val="000000"/>
                <w:kern w:val="0"/>
                <w:szCs w:val="21"/>
              </w:rPr>
            </w:pPr>
            <w:r>
              <w:rPr>
                <w:rFonts w:hint="eastAsia" w:ascii="宋体" w:hAnsi="宋体" w:eastAsia="宋体" w:cs="宋体"/>
                <w:color w:val="000000"/>
                <w:kern w:val="0"/>
                <w:szCs w:val="21"/>
              </w:rPr>
              <w:t>3）密码找回：用户忘记密码时，邮箱登录用户可以通过所登录的邮箱找回密码。</w:t>
            </w:r>
          </w:p>
        </w:tc>
        <w:tc>
          <w:tcPr>
            <w:tcW w:w="660" w:type="dxa"/>
            <w:vAlign w:val="center"/>
          </w:tcPr>
          <w:p w14:paraId="6EC4FC74">
            <w:pPr>
              <w:pStyle w:val="8"/>
              <w:rPr>
                <w:rFonts w:hint="eastAsia"/>
                <w:kern w:val="0"/>
                <w:szCs w:val="21"/>
              </w:rPr>
            </w:pPr>
          </w:p>
        </w:tc>
      </w:tr>
      <w:tr w14:paraId="1D93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3690C9A6">
            <w:pPr>
              <w:pStyle w:val="8"/>
              <w:rPr>
                <w:rFonts w:hint="eastAsia"/>
                <w:kern w:val="0"/>
                <w:szCs w:val="21"/>
              </w:rPr>
            </w:pPr>
          </w:p>
        </w:tc>
        <w:tc>
          <w:tcPr>
            <w:tcW w:w="1482" w:type="dxa"/>
            <w:vAlign w:val="center"/>
          </w:tcPr>
          <w:p w14:paraId="35AC3C38">
            <w:pPr>
              <w:pStyle w:val="8"/>
              <w:rPr>
                <w:rFonts w:hint="eastAsia"/>
                <w:kern w:val="0"/>
                <w:szCs w:val="21"/>
              </w:rPr>
            </w:pPr>
            <w:r>
              <w:rPr>
                <w:rFonts w:hint="eastAsia"/>
                <w:kern w:val="0"/>
                <w:szCs w:val="21"/>
              </w:rPr>
              <w:t>2.</w:t>
            </w:r>
            <w:r>
              <w:rPr>
                <w:kern w:val="0"/>
                <w:szCs w:val="21"/>
              </w:rPr>
              <w:t xml:space="preserve"> </w:t>
            </w:r>
            <w:r>
              <w:rPr>
                <w:rFonts w:hint="eastAsia"/>
                <w:kern w:val="0"/>
                <w:szCs w:val="21"/>
              </w:rPr>
              <w:t>实现课程中心功能</w:t>
            </w:r>
          </w:p>
        </w:tc>
        <w:tc>
          <w:tcPr>
            <w:tcW w:w="4496" w:type="dxa"/>
            <w:shd w:val="clear" w:color="auto" w:fill="auto"/>
            <w:vAlign w:val="center"/>
          </w:tcPr>
          <w:p w14:paraId="3C28E6F9">
            <w:pPr>
              <w:rPr>
                <w:rFonts w:ascii="宋体" w:hAnsi="宋体" w:eastAsia="宋体" w:cs="宋体"/>
                <w:color w:val="000000"/>
                <w:kern w:val="0"/>
                <w:szCs w:val="21"/>
              </w:rPr>
            </w:pPr>
            <w:r>
              <w:rPr>
                <w:rFonts w:hint="eastAsia" w:ascii="宋体" w:hAnsi="宋体" w:eastAsia="宋体" w:cs="宋体"/>
                <w:color w:val="000000"/>
                <w:kern w:val="0"/>
                <w:szCs w:val="21"/>
              </w:rPr>
              <w:t>1）学习的课程：用户可以查看加入的所有开课，点击开课图片可以快速进入课程主页。课程成绩发布后，可以查看成绩。</w:t>
            </w:r>
          </w:p>
          <w:p w14:paraId="7C3B0C8A">
            <w:pPr>
              <w:rPr>
                <w:rFonts w:ascii="宋体" w:hAnsi="宋体" w:eastAsia="宋体" w:cs="宋体"/>
                <w:color w:val="000000"/>
                <w:kern w:val="0"/>
                <w:szCs w:val="21"/>
              </w:rPr>
            </w:pPr>
            <w:r>
              <w:rPr>
                <w:rFonts w:hint="eastAsia" w:ascii="宋体" w:hAnsi="宋体" w:eastAsia="宋体" w:cs="宋体"/>
                <w:color w:val="000000"/>
                <w:kern w:val="0"/>
                <w:szCs w:val="21"/>
              </w:rPr>
              <w:t>2）报名的课程：用户可以选择课程报名，查看报名的所有开课，并可以退出课程。</w:t>
            </w:r>
          </w:p>
          <w:p w14:paraId="363996DB">
            <w:pPr>
              <w:rPr>
                <w:rFonts w:ascii="宋体" w:hAnsi="宋体" w:eastAsia="宋体" w:cs="宋体"/>
                <w:color w:val="000000"/>
                <w:kern w:val="0"/>
                <w:szCs w:val="21"/>
              </w:rPr>
            </w:pPr>
            <w:r>
              <w:rPr>
                <w:rFonts w:hint="eastAsia" w:ascii="宋体" w:hAnsi="宋体" w:eastAsia="宋体" w:cs="宋体"/>
                <w:color w:val="000000"/>
                <w:kern w:val="0"/>
                <w:szCs w:val="21"/>
              </w:rPr>
              <w:t>3）个人设置：用户可以对个人信息包含性别，年龄，头像等进行设置。</w:t>
            </w:r>
          </w:p>
        </w:tc>
        <w:tc>
          <w:tcPr>
            <w:tcW w:w="660" w:type="dxa"/>
            <w:vAlign w:val="center"/>
          </w:tcPr>
          <w:p w14:paraId="25592BDA">
            <w:pPr>
              <w:pStyle w:val="8"/>
              <w:rPr>
                <w:rFonts w:hint="eastAsia"/>
                <w:kern w:val="0"/>
                <w:szCs w:val="21"/>
              </w:rPr>
            </w:pPr>
          </w:p>
        </w:tc>
      </w:tr>
      <w:tr w14:paraId="392A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2BFF325D">
            <w:pPr>
              <w:pStyle w:val="8"/>
              <w:rPr>
                <w:rFonts w:hint="eastAsia"/>
                <w:kern w:val="0"/>
                <w:szCs w:val="21"/>
              </w:rPr>
            </w:pPr>
          </w:p>
        </w:tc>
        <w:tc>
          <w:tcPr>
            <w:tcW w:w="1482" w:type="dxa"/>
            <w:vAlign w:val="center"/>
          </w:tcPr>
          <w:p w14:paraId="0ACFC815">
            <w:pPr>
              <w:pStyle w:val="8"/>
              <w:rPr>
                <w:rFonts w:hint="eastAsia"/>
                <w:kern w:val="0"/>
                <w:szCs w:val="21"/>
              </w:rPr>
            </w:pPr>
            <w:r>
              <w:rPr>
                <w:rFonts w:hint="eastAsia"/>
                <w:kern w:val="0"/>
                <w:szCs w:val="21"/>
              </w:rPr>
              <w:t>3.</w:t>
            </w:r>
            <w:r>
              <w:rPr>
                <w:kern w:val="0"/>
                <w:szCs w:val="21"/>
              </w:rPr>
              <w:t xml:space="preserve"> </w:t>
            </w:r>
            <w:r>
              <w:rPr>
                <w:rFonts w:hint="eastAsia"/>
                <w:kern w:val="0"/>
                <w:szCs w:val="21"/>
              </w:rPr>
              <w:t>支持线上学习功能</w:t>
            </w:r>
          </w:p>
        </w:tc>
        <w:tc>
          <w:tcPr>
            <w:tcW w:w="4496" w:type="dxa"/>
            <w:shd w:val="clear" w:color="auto" w:fill="auto"/>
            <w:vAlign w:val="center"/>
          </w:tcPr>
          <w:p w14:paraId="17C9D1DB">
            <w:pPr>
              <w:rPr>
                <w:rFonts w:ascii="宋体" w:hAnsi="宋体" w:eastAsia="宋体" w:cs="宋体"/>
                <w:color w:val="000000"/>
                <w:kern w:val="0"/>
                <w:szCs w:val="21"/>
              </w:rPr>
            </w:pPr>
            <w:r>
              <w:rPr>
                <w:rFonts w:hint="eastAsia" w:ascii="宋体" w:hAnsi="宋体" w:eastAsia="宋体" w:cs="宋体"/>
                <w:color w:val="000000"/>
                <w:kern w:val="0"/>
                <w:szCs w:val="21"/>
              </w:rPr>
              <w:t>1）学习平台主页内容</w:t>
            </w:r>
          </w:p>
          <w:p w14:paraId="55513A7D">
            <w:pPr>
              <w:rPr>
                <w:rFonts w:ascii="宋体" w:hAnsi="宋体" w:eastAsia="宋体" w:cs="宋体"/>
                <w:color w:val="000000"/>
                <w:kern w:val="0"/>
                <w:szCs w:val="21"/>
              </w:rPr>
            </w:pPr>
            <w:r>
              <w:rPr>
                <w:rFonts w:hint="eastAsia" w:ascii="宋体" w:hAnsi="宋体" w:eastAsia="宋体" w:cs="宋体"/>
                <w:color w:val="000000"/>
                <w:kern w:val="0"/>
                <w:szCs w:val="21"/>
              </w:rPr>
              <w:t>登录学校平台主页，可以通过各种视觉元素如本校图片、logo、简介等，知晓登录的平台是本校。</w:t>
            </w:r>
          </w:p>
          <w:p w14:paraId="379482A9">
            <w:pPr>
              <w:rPr>
                <w:rFonts w:ascii="宋体" w:hAnsi="宋体" w:eastAsia="宋体" w:cs="宋体"/>
                <w:color w:val="000000"/>
                <w:kern w:val="0"/>
                <w:szCs w:val="21"/>
              </w:rPr>
            </w:pPr>
            <w:r>
              <w:rPr>
                <w:rFonts w:hint="eastAsia" w:ascii="宋体" w:hAnsi="宋体" w:eastAsia="宋体" w:cs="宋体"/>
                <w:color w:val="000000"/>
                <w:kern w:val="0"/>
                <w:szCs w:val="21"/>
              </w:rPr>
              <w:t>本校课程聚合页，在学校平台主页，向用户展示本校已经发布的所有课程，可供用户选课报名。</w:t>
            </w:r>
          </w:p>
          <w:p w14:paraId="2F3946D8">
            <w:pPr>
              <w:rPr>
                <w:rFonts w:ascii="宋体" w:hAnsi="宋体" w:eastAsia="宋体" w:cs="宋体"/>
                <w:color w:val="000000"/>
                <w:kern w:val="0"/>
                <w:szCs w:val="21"/>
              </w:rPr>
            </w:pPr>
            <w:r>
              <w:rPr>
                <w:rFonts w:hint="eastAsia" w:ascii="宋体" w:hAnsi="宋体" w:eastAsia="宋体" w:cs="宋体"/>
                <w:color w:val="000000"/>
                <w:kern w:val="0"/>
                <w:szCs w:val="21"/>
              </w:rPr>
              <w:t>在学校平台主页，向用户展示本校已开课的所有老师，可供用户查看老师主页并根据老师选课。</w:t>
            </w:r>
          </w:p>
          <w:p w14:paraId="754F0EF4">
            <w:pPr>
              <w:rPr>
                <w:rFonts w:ascii="宋体" w:hAnsi="宋体" w:eastAsia="宋体" w:cs="宋体"/>
                <w:color w:val="000000"/>
                <w:kern w:val="0"/>
                <w:szCs w:val="21"/>
              </w:rPr>
            </w:pPr>
            <w:r>
              <w:rPr>
                <w:rFonts w:hint="eastAsia" w:ascii="宋体" w:hAnsi="宋体" w:eastAsia="宋体" w:cs="宋体"/>
                <w:color w:val="000000"/>
                <w:kern w:val="0"/>
                <w:szCs w:val="21"/>
              </w:rPr>
              <w:t>进入教师主页，可以查看教师的相关简介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已在平台开设的课程。通过点击课程，进入课程介绍页选课报名。</w:t>
            </w:r>
          </w:p>
          <w:p w14:paraId="1E7F08EE">
            <w:pPr>
              <w:rPr>
                <w:rFonts w:ascii="宋体" w:hAnsi="宋体" w:eastAsia="宋体" w:cs="宋体"/>
                <w:color w:val="000000"/>
                <w:kern w:val="0"/>
                <w:szCs w:val="21"/>
              </w:rPr>
            </w:pPr>
            <w:r>
              <w:rPr>
                <w:rFonts w:hint="eastAsia" w:ascii="宋体" w:hAnsi="宋体" w:eastAsia="宋体" w:cs="宋体"/>
                <w:color w:val="000000"/>
                <w:kern w:val="0"/>
                <w:szCs w:val="21"/>
              </w:rPr>
              <w:t>2）学习过程设计</w:t>
            </w:r>
          </w:p>
          <w:p w14:paraId="798D1908">
            <w:pPr>
              <w:rPr>
                <w:rFonts w:ascii="宋体" w:hAnsi="宋体" w:eastAsia="宋体" w:cs="宋体"/>
                <w:color w:val="000000"/>
                <w:kern w:val="0"/>
                <w:szCs w:val="21"/>
              </w:rPr>
            </w:pPr>
            <w:r>
              <w:rPr>
                <w:rFonts w:hint="eastAsia" w:ascii="宋体" w:hAnsi="宋体" w:eastAsia="宋体" w:cs="宋体"/>
                <w:color w:val="000000"/>
                <w:kern w:val="0"/>
                <w:szCs w:val="21"/>
              </w:rPr>
              <w:t>支持为学生指定选修某些课程。学生也可以自选课程，选择课程时需要确认开课学期。</w:t>
            </w:r>
          </w:p>
          <w:p w14:paraId="00F51949">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查看课程公告、测验与作业、发布章节信息、课程讨论以及考试内容等。</w:t>
            </w:r>
          </w:p>
          <w:p w14:paraId="4975C462">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选择相应课程</w:t>
            </w:r>
            <w:r>
              <w:rPr>
                <w:rFonts w:hint="eastAsia" w:ascii="宋体" w:hAnsi="宋体" w:eastAsia="宋体" w:cs="宋体"/>
                <w:color w:val="000000"/>
                <w:kern w:val="0"/>
                <w:szCs w:val="21"/>
                <w:lang w:val="en-US" w:eastAsia="zh-CN"/>
              </w:rPr>
              <w:t>后</w:t>
            </w:r>
            <w:r>
              <w:rPr>
                <w:rFonts w:hint="eastAsia" w:ascii="宋体" w:hAnsi="宋体" w:eastAsia="宋体" w:cs="宋体"/>
                <w:color w:val="000000"/>
                <w:kern w:val="0"/>
                <w:szCs w:val="21"/>
              </w:rPr>
              <w:t>进入学习，课程学习内容以视频、文档、讨论、测验与作业等形式呈现，可全屏以及暂停，系统自动记录学员视频的学习时长，并将其作为统计的指标之一。</w:t>
            </w:r>
          </w:p>
          <w:p w14:paraId="64D95CAE">
            <w:pPr>
              <w:rPr>
                <w:rFonts w:ascii="宋体" w:hAnsi="宋体" w:eastAsia="宋体" w:cs="宋体"/>
                <w:color w:val="000000"/>
                <w:kern w:val="0"/>
                <w:szCs w:val="21"/>
              </w:rPr>
            </w:pPr>
            <w:r>
              <w:rPr>
                <w:rFonts w:hint="eastAsia" w:ascii="宋体" w:hAnsi="宋体" w:eastAsia="宋体" w:cs="宋体"/>
                <w:color w:val="000000"/>
                <w:kern w:val="0"/>
                <w:szCs w:val="21"/>
              </w:rPr>
              <w:t>支持在教学视频的任意时间点加入驻点测验，测验题包括单选题、多选题、填空题，判断题。</w:t>
            </w:r>
          </w:p>
          <w:p w14:paraId="1E135F56">
            <w:pPr>
              <w:rPr>
                <w:rFonts w:ascii="宋体" w:hAnsi="宋体" w:eastAsia="宋体" w:cs="宋体"/>
                <w:color w:val="000000"/>
                <w:kern w:val="0"/>
                <w:szCs w:val="21"/>
              </w:rPr>
            </w:pPr>
            <w:r>
              <w:rPr>
                <w:rFonts w:hint="eastAsia" w:ascii="宋体" w:hAnsi="宋体" w:eastAsia="宋体" w:cs="宋体"/>
                <w:color w:val="000000"/>
                <w:kern w:val="0"/>
                <w:szCs w:val="21"/>
              </w:rPr>
              <w:t>主题讨论，教师在课程内容中添加主题讨论，学生可以进行回复。讨论支持根据回复最多，回复时间，被赞最多进行排序。</w:t>
            </w:r>
          </w:p>
          <w:p w14:paraId="30104A66">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学生通过讲义下载进行浏览学习。</w:t>
            </w:r>
          </w:p>
          <w:p w14:paraId="4B320FCD">
            <w:pPr>
              <w:rPr>
                <w:rFonts w:ascii="宋体" w:hAnsi="宋体" w:eastAsia="宋体" w:cs="宋体"/>
                <w:color w:val="000000"/>
                <w:kern w:val="0"/>
                <w:szCs w:val="21"/>
              </w:rPr>
            </w:pPr>
            <w:r>
              <w:rPr>
                <w:rFonts w:hint="eastAsia" w:ascii="宋体" w:hAnsi="宋体" w:eastAsia="宋体" w:cs="宋体"/>
                <w:color w:val="000000"/>
                <w:kern w:val="0"/>
                <w:szCs w:val="21"/>
              </w:rPr>
              <w:t>课程</w:t>
            </w:r>
            <w:r>
              <w:rPr>
                <w:rFonts w:hint="eastAsia" w:ascii="宋体" w:hAnsi="宋体" w:eastAsia="宋体" w:cs="宋体"/>
                <w:color w:val="000000"/>
                <w:kern w:val="0"/>
                <w:szCs w:val="21"/>
                <w:lang w:val="en-US" w:eastAsia="zh-CN"/>
              </w:rPr>
              <w:t>具有</w:t>
            </w:r>
            <w:r>
              <w:rPr>
                <w:rFonts w:hint="eastAsia" w:ascii="宋体" w:hAnsi="宋体" w:eastAsia="宋体" w:cs="宋体"/>
                <w:color w:val="000000"/>
                <w:kern w:val="0"/>
                <w:szCs w:val="21"/>
              </w:rPr>
              <w:t>字幕辅助学生进行视频学习。在视频学习界面，支持字幕自动播放。</w:t>
            </w:r>
          </w:p>
          <w:p w14:paraId="79C0B790">
            <w:pPr>
              <w:rPr>
                <w:rFonts w:ascii="宋体" w:hAnsi="宋体" w:eastAsia="宋体" w:cs="宋体"/>
                <w:color w:val="000000"/>
                <w:kern w:val="0"/>
                <w:szCs w:val="21"/>
              </w:rPr>
            </w:pPr>
            <w:r>
              <w:rPr>
                <w:rFonts w:hint="eastAsia" w:ascii="宋体" w:hAnsi="宋体" w:eastAsia="宋体" w:cs="宋体"/>
                <w:color w:val="000000"/>
                <w:kern w:val="0"/>
                <w:szCs w:val="21"/>
              </w:rPr>
              <w:t>针对客观题，平台可以自动判题，根据事先设定的评分标准给出题目测验成绩。</w:t>
            </w:r>
          </w:p>
          <w:p w14:paraId="23A12B26">
            <w:pPr>
              <w:rPr>
                <w:rFonts w:ascii="宋体" w:hAnsi="宋体" w:eastAsia="宋体" w:cs="宋体"/>
                <w:color w:val="000000"/>
                <w:kern w:val="0"/>
                <w:szCs w:val="21"/>
              </w:rPr>
            </w:pPr>
            <w:r>
              <w:rPr>
                <w:rFonts w:hint="eastAsia" w:ascii="宋体" w:hAnsi="宋体" w:eastAsia="宋体" w:cs="宋体"/>
                <w:color w:val="000000"/>
                <w:kern w:val="0"/>
                <w:szCs w:val="21"/>
              </w:rPr>
              <w:t>针对互联网、计算机等课程，可以支持添加在线编程练习题，其语言支持C、COOL、GO、Haskell、Java、JavaScript、Lua、Pascal、PHP、Perl、Python2.7、Python3.4、Ruby、Shell。支持通过添加测试用例等方式实现在线程序判题。</w:t>
            </w:r>
          </w:p>
          <w:p w14:paraId="6A38B0C3">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根据用户需要，自主调节视频播放倍速、视频清晰度。</w:t>
            </w:r>
          </w:p>
          <w:p w14:paraId="62E8A4F8">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学习中在指定时间内按照要求完成测验。测验题型主要包含选择题、判断题。测验最终成绩评定算法（例如平均分，最高分）</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在开课课程内容制作中设置。</w:t>
            </w:r>
          </w:p>
          <w:p w14:paraId="48E6B63C">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学习中在指定的时间内按要求完成作业，作业题型主要为简答题，并支持上传附件。作业可</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同学互评和教师批阅作业两种类型。同学互评的作业，提交作业后，</w:t>
            </w:r>
            <w:r>
              <w:rPr>
                <w:rFonts w:hint="eastAsia" w:ascii="宋体" w:hAnsi="宋体" w:eastAsia="宋体" w:cs="宋体"/>
                <w:color w:val="000000"/>
                <w:kern w:val="0"/>
                <w:szCs w:val="21"/>
                <w:lang w:eastAsia="zh-CN"/>
              </w:rPr>
              <w:t>进入</w:t>
            </w:r>
            <w:r>
              <w:rPr>
                <w:rFonts w:hint="eastAsia" w:ascii="宋体" w:hAnsi="宋体" w:eastAsia="宋体" w:cs="宋体"/>
                <w:color w:val="000000"/>
                <w:kern w:val="0"/>
                <w:szCs w:val="21"/>
              </w:rPr>
              <w:t>互评阶段，学生间批阅彼此作业。</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在成绩公布期间，看到互评成绩和评语详情。</w:t>
            </w:r>
          </w:p>
          <w:p w14:paraId="7216A593">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小节中内容全部完成后，显示标志</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方便</w:t>
            </w:r>
            <w:r>
              <w:rPr>
                <w:rFonts w:hint="eastAsia" w:ascii="宋体" w:hAnsi="宋体" w:eastAsia="宋体" w:cs="宋体"/>
                <w:color w:val="000000"/>
                <w:kern w:val="0"/>
                <w:szCs w:val="21"/>
              </w:rPr>
              <w:t>学生知晓当前课程的学习进度，以便灵活把握个人学习进度。</w:t>
            </w:r>
          </w:p>
          <w:p w14:paraId="10EA0826">
            <w:pPr>
              <w:rPr>
                <w:rFonts w:ascii="宋体" w:hAnsi="宋体" w:eastAsia="宋体" w:cs="宋体"/>
                <w:color w:val="000000"/>
                <w:kern w:val="0"/>
                <w:szCs w:val="21"/>
              </w:rPr>
            </w:pPr>
            <w:r>
              <w:rPr>
                <w:rFonts w:hint="eastAsia" w:ascii="宋体" w:hAnsi="宋体" w:eastAsia="宋体" w:cs="宋体"/>
                <w:color w:val="000000"/>
                <w:kern w:val="0"/>
                <w:szCs w:val="21"/>
              </w:rPr>
              <w:t>3）翻转课堂</w:t>
            </w:r>
          </w:p>
          <w:p w14:paraId="0E03FCB3">
            <w:pPr>
              <w:rPr>
                <w:rFonts w:ascii="宋体" w:hAnsi="宋体" w:eastAsia="宋体" w:cs="宋体"/>
                <w:color w:val="000000"/>
                <w:kern w:val="0"/>
                <w:szCs w:val="21"/>
              </w:rPr>
            </w:pPr>
            <w:r>
              <w:rPr>
                <w:rFonts w:hint="eastAsia" w:ascii="宋体" w:hAnsi="宋体" w:eastAsia="宋体" w:cs="宋体"/>
                <w:color w:val="000000"/>
                <w:kern w:val="0"/>
                <w:szCs w:val="21"/>
              </w:rPr>
              <w:t>支持课程发布线下活动，学习中用户可以报名参加；支持利用平台所拥有的功能，开展翻转课堂教学，使线上线下学习有机结合</w:t>
            </w:r>
            <w:r>
              <w:rPr>
                <w:rFonts w:hint="eastAsia" w:ascii="宋体" w:hAnsi="宋体" w:eastAsia="宋体" w:cs="宋体"/>
                <w:color w:val="000000"/>
                <w:kern w:val="0"/>
                <w:szCs w:val="21"/>
                <w:lang w:eastAsia="zh-CN"/>
              </w:rPr>
              <w:t>；</w:t>
            </w:r>
          </w:p>
          <w:p w14:paraId="7BD20BCE">
            <w:pPr>
              <w:rPr>
                <w:rFonts w:ascii="宋体" w:hAnsi="宋体" w:eastAsia="宋体" w:cs="宋体"/>
                <w:color w:val="000000"/>
                <w:kern w:val="0"/>
                <w:szCs w:val="21"/>
              </w:rPr>
            </w:pPr>
            <w:r>
              <w:rPr>
                <w:rFonts w:hint="eastAsia" w:ascii="宋体" w:hAnsi="宋体" w:eastAsia="宋体" w:cs="宋体"/>
                <w:color w:val="000000"/>
                <w:kern w:val="0"/>
                <w:szCs w:val="21"/>
              </w:rPr>
              <w:t>支持线上课程的发布，用户可以在平台上开展课程的学习；</w:t>
            </w:r>
          </w:p>
          <w:p w14:paraId="16621EB3">
            <w:pPr>
              <w:rPr>
                <w:rFonts w:ascii="宋体" w:hAnsi="宋体" w:eastAsia="宋体" w:cs="宋体"/>
                <w:color w:val="000000"/>
                <w:kern w:val="0"/>
                <w:szCs w:val="21"/>
              </w:rPr>
            </w:pPr>
          </w:p>
        </w:tc>
        <w:tc>
          <w:tcPr>
            <w:tcW w:w="660" w:type="dxa"/>
            <w:vAlign w:val="center"/>
          </w:tcPr>
          <w:p w14:paraId="70FFD625">
            <w:pPr>
              <w:pStyle w:val="8"/>
              <w:rPr>
                <w:rFonts w:hint="eastAsia"/>
                <w:kern w:val="0"/>
                <w:szCs w:val="21"/>
              </w:rPr>
            </w:pPr>
          </w:p>
        </w:tc>
      </w:tr>
      <w:tr w14:paraId="7089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59077890">
            <w:pPr>
              <w:pStyle w:val="8"/>
              <w:rPr>
                <w:rFonts w:hint="eastAsia"/>
                <w:kern w:val="0"/>
                <w:szCs w:val="21"/>
              </w:rPr>
            </w:pPr>
          </w:p>
        </w:tc>
        <w:tc>
          <w:tcPr>
            <w:tcW w:w="1482" w:type="dxa"/>
            <w:vAlign w:val="center"/>
          </w:tcPr>
          <w:p w14:paraId="59E7E5FA">
            <w:pPr>
              <w:pStyle w:val="8"/>
              <w:rPr>
                <w:rFonts w:hint="eastAsia"/>
                <w:kern w:val="0"/>
                <w:szCs w:val="21"/>
              </w:rPr>
            </w:pPr>
            <w:r>
              <w:rPr>
                <w:rFonts w:hint="eastAsia" w:ascii="宋体" w:hAnsi="宋体" w:eastAsia="宋体" w:cs="宋体"/>
                <w:color w:val="000000"/>
                <w:kern w:val="0"/>
                <w:szCs w:val="21"/>
              </w:rPr>
              <w:t>4.</w:t>
            </w:r>
            <w:r>
              <w:rPr>
                <w:kern w:val="0"/>
                <w:szCs w:val="21"/>
              </w:rPr>
              <w:t xml:space="preserve"> </w:t>
            </w:r>
            <w:r>
              <w:rPr>
                <w:rFonts w:hint="eastAsia"/>
                <w:kern w:val="0"/>
                <w:szCs w:val="21"/>
              </w:rPr>
              <w:t>实现</w:t>
            </w:r>
            <w:r>
              <w:rPr>
                <w:rFonts w:hint="eastAsia" w:ascii="宋体" w:hAnsi="宋体" w:eastAsia="宋体" w:cs="宋体"/>
                <w:color w:val="000000"/>
                <w:kern w:val="0"/>
                <w:szCs w:val="21"/>
              </w:rPr>
              <w:t>论坛讨论功能</w:t>
            </w:r>
          </w:p>
        </w:tc>
        <w:tc>
          <w:tcPr>
            <w:tcW w:w="4496" w:type="dxa"/>
            <w:shd w:val="clear" w:color="auto" w:fill="auto"/>
            <w:vAlign w:val="center"/>
          </w:tcPr>
          <w:p w14:paraId="14F0F0AB">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每门课程拥有自己的在线论坛，分为不同的讨论版。默认讨论版包括：</w:t>
            </w:r>
          </w:p>
          <w:p w14:paraId="757FFB9C">
            <w:pPr>
              <w:rPr>
                <w:rFonts w:ascii="宋体" w:hAnsi="宋体" w:eastAsia="宋体" w:cs="宋体"/>
                <w:color w:val="000000"/>
                <w:kern w:val="0"/>
                <w:szCs w:val="21"/>
              </w:rPr>
            </w:pPr>
            <w:r>
              <w:rPr>
                <w:rFonts w:hint="eastAsia" w:ascii="宋体" w:hAnsi="宋体" w:eastAsia="宋体" w:cs="宋体"/>
                <w:color w:val="000000"/>
                <w:kern w:val="0"/>
                <w:szCs w:val="21"/>
              </w:rPr>
              <w:t>课程讨论区：呈现课件中教学内容的讨论。</w:t>
            </w:r>
          </w:p>
          <w:p w14:paraId="5E730DFA">
            <w:pPr>
              <w:rPr>
                <w:rFonts w:ascii="宋体" w:hAnsi="宋体" w:eastAsia="宋体" w:cs="宋体"/>
                <w:color w:val="000000"/>
                <w:kern w:val="0"/>
                <w:szCs w:val="21"/>
              </w:rPr>
            </w:pPr>
            <w:r>
              <w:rPr>
                <w:rFonts w:hint="eastAsia" w:ascii="宋体" w:hAnsi="宋体" w:eastAsia="宋体" w:cs="宋体"/>
                <w:color w:val="000000"/>
                <w:kern w:val="0"/>
                <w:szCs w:val="21"/>
              </w:rPr>
              <w:t>老师答疑区：发表关于作业、测试、课件内容希望能够得到老师回答的疑问。</w:t>
            </w:r>
          </w:p>
          <w:p w14:paraId="2519466D">
            <w:pPr>
              <w:rPr>
                <w:rFonts w:ascii="宋体" w:hAnsi="宋体" w:eastAsia="宋体" w:cs="宋体"/>
                <w:color w:val="000000"/>
                <w:kern w:val="0"/>
                <w:szCs w:val="21"/>
              </w:rPr>
            </w:pPr>
            <w:r>
              <w:rPr>
                <w:rFonts w:hint="eastAsia" w:ascii="宋体" w:hAnsi="宋体" w:eastAsia="宋体" w:cs="宋体"/>
                <w:color w:val="000000"/>
                <w:kern w:val="0"/>
                <w:szCs w:val="21"/>
              </w:rPr>
              <w:t>综合讨论区：发表任何想与大家分享的经验及想法，关于本课程、学习、工作、生活等一般性话题。</w:t>
            </w:r>
          </w:p>
          <w:p w14:paraId="3D30AAA7">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具有相关管理权限的教师自行定义其他讨论版，</w:t>
            </w:r>
            <w:r>
              <w:rPr>
                <w:rFonts w:hint="eastAsia" w:ascii="宋体" w:hAnsi="宋体" w:eastAsia="宋体" w:cs="宋体"/>
                <w:color w:val="000000"/>
                <w:kern w:val="0"/>
                <w:szCs w:val="21"/>
                <w:lang w:val="en-US" w:eastAsia="zh-CN"/>
              </w:rPr>
              <w:t>可</w:t>
            </w:r>
            <w:r>
              <w:rPr>
                <w:rFonts w:hint="eastAsia" w:ascii="宋体" w:hAnsi="宋体" w:eastAsia="宋体" w:cs="宋体"/>
                <w:color w:val="000000"/>
                <w:kern w:val="0"/>
                <w:szCs w:val="21"/>
              </w:rPr>
              <w:t>对版块进行关闭或者对帖子进行关闭、删除、置顶的相关管理。</w:t>
            </w:r>
          </w:p>
          <w:p w14:paraId="1AB72DB0">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用户对论坛的帖子进行顶，踩，回复，对回复进行评论。</w:t>
            </w:r>
          </w:p>
        </w:tc>
        <w:tc>
          <w:tcPr>
            <w:tcW w:w="660" w:type="dxa"/>
            <w:vAlign w:val="center"/>
          </w:tcPr>
          <w:p w14:paraId="63008844">
            <w:pPr>
              <w:pStyle w:val="8"/>
              <w:rPr>
                <w:rFonts w:hint="eastAsia"/>
                <w:kern w:val="0"/>
                <w:szCs w:val="21"/>
              </w:rPr>
            </w:pPr>
          </w:p>
        </w:tc>
      </w:tr>
      <w:tr w14:paraId="6A67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Align w:val="center"/>
          </w:tcPr>
          <w:p w14:paraId="7C965203">
            <w:pPr>
              <w:pStyle w:val="8"/>
              <w:rPr>
                <w:rFonts w:hint="eastAsia"/>
                <w:kern w:val="0"/>
                <w:szCs w:val="21"/>
              </w:rPr>
            </w:pPr>
            <w:r>
              <w:rPr>
                <w:rFonts w:hint="eastAsia"/>
                <w:kern w:val="0"/>
                <w:szCs w:val="21"/>
                <w:lang w:val="en-US" w:eastAsia="zh-CN"/>
              </w:rPr>
              <w:t>五</w:t>
            </w:r>
            <w:r>
              <w:rPr>
                <w:kern w:val="0"/>
                <w:szCs w:val="21"/>
              </w:rPr>
              <w:t>、移动端</w:t>
            </w:r>
          </w:p>
        </w:tc>
        <w:tc>
          <w:tcPr>
            <w:tcW w:w="1482" w:type="dxa"/>
            <w:vAlign w:val="center"/>
          </w:tcPr>
          <w:p w14:paraId="566CDE74">
            <w:pPr>
              <w:pStyle w:val="8"/>
              <w:rPr>
                <w:rFonts w:hint="eastAsia"/>
                <w:kern w:val="0"/>
                <w:szCs w:val="21"/>
              </w:rPr>
            </w:pPr>
            <w:r>
              <w:rPr>
                <w:rFonts w:hint="eastAsia"/>
                <w:kern w:val="0"/>
                <w:szCs w:val="21"/>
              </w:rPr>
              <w:t>1.</w:t>
            </w:r>
            <w:r>
              <w:rPr>
                <w:kern w:val="0"/>
                <w:szCs w:val="21"/>
              </w:rPr>
              <w:t xml:space="preserve"> 支持</w:t>
            </w:r>
            <w:r>
              <w:rPr>
                <w:rFonts w:hint="eastAsia"/>
                <w:kern w:val="0"/>
                <w:szCs w:val="21"/>
              </w:rPr>
              <w:t>移动端功能</w:t>
            </w:r>
          </w:p>
        </w:tc>
        <w:tc>
          <w:tcPr>
            <w:tcW w:w="4496" w:type="dxa"/>
            <w:shd w:val="clear" w:color="auto" w:fill="auto"/>
            <w:vAlign w:val="center"/>
          </w:tcPr>
          <w:p w14:paraId="027414BC">
            <w:pPr>
              <w:rPr>
                <w:rFonts w:ascii="宋体" w:hAnsi="宋体" w:eastAsia="宋体" w:cs="宋体"/>
                <w:color w:val="000000"/>
                <w:kern w:val="0"/>
                <w:szCs w:val="21"/>
              </w:rPr>
            </w:pPr>
            <w:r>
              <w:rPr>
                <w:rFonts w:hint="eastAsia" w:ascii="宋体" w:hAnsi="宋体" w:eastAsia="宋体" w:cs="宋体"/>
                <w:color w:val="000000"/>
                <w:kern w:val="0"/>
                <w:szCs w:val="21"/>
              </w:rPr>
              <w:t>平台提供Android和IOS的app客户端，app客户端</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适配市面上主流的移动设备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课程进行相关分类所运行的高校课程资源和国家精品课程（或线上一流本科课程）通过关键词检索或者页面浏览查找课程资源与PC端同步</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无需认证高校或者机构身份免费自由学习全部教学内容。</w:t>
            </w:r>
          </w:p>
        </w:tc>
        <w:tc>
          <w:tcPr>
            <w:tcW w:w="660" w:type="dxa"/>
            <w:vAlign w:val="center"/>
          </w:tcPr>
          <w:p w14:paraId="21D3F48B">
            <w:pPr>
              <w:pStyle w:val="8"/>
              <w:rPr>
                <w:rFonts w:hint="eastAsia"/>
                <w:kern w:val="0"/>
                <w:szCs w:val="21"/>
              </w:rPr>
            </w:pPr>
          </w:p>
        </w:tc>
      </w:tr>
      <w:tr w14:paraId="2AC1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restart"/>
            <w:vAlign w:val="center"/>
          </w:tcPr>
          <w:p w14:paraId="7B33B484">
            <w:pPr>
              <w:pStyle w:val="8"/>
              <w:rPr>
                <w:rFonts w:hint="eastAsia"/>
                <w:kern w:val="0"/>
                <w:szCs w:val="21"/>
              </w:rPr>
            </w:pPr>
            <w:r>
              <w:rPr>
                <w:rFonts w:hint="eastAsia"/>
                <w:kern w:val="0"/>
                <w:szCs w:val="21"/>
                <w:lang w:val="en-US" w:eastAsia="zh-CN"/>
              </w:rPr>
              <w:t>六</w:t>
            </w:r>
            <w:r>
              <w:rPr>
                <w:kern w:val="0"/>
                <w:szCs w:val="21"/>
              </w:rPr>
              <w:t>、教学平台管理</w:t>
            </w:r>
            <w:r>
              <w:rPr>
                <w:rFonts w:hint="eastAsia"/>
                <w:kern w:val="0"/>
                <w:szCs w:val="21"/>
              </w:rPr>
              <w:t>功能</w:t>
            </w:r>
          </w:p>
        </w:tc>
        <w:tc>
          <w:tcPr>
            <w:tcW w:w="1482" w:type="dxa"/>
            <w:vAlign w:val="center"/>
          </w:tcPr>
          <w:p w14:paraId="6B17AA93">
            <w:pPr>
              <w:pStyle w:val="8"/>
              <w:rPr>
                <w:rFonts w:hint="eastAsia"/>
                <w:kern w:val="0"/>
                <w:szCs w:val="21"/>
              </w:rPr>
            </w:pPr>
            <w:r>
              <w:rPr>
                <w:kern w:val="0"/>
                <w:szCs w:val="21"/>
              </w:rPr>
              <w:t>1. 支持课程创建功能</w:t>
            </w:r>
          </w:p>
        </w:tc>
        <w:tc>
          <w:tcPr>
            <w:tcW w:w="4496" w:type="dxa"/>
            <w:shd w:val="clear" w:color="auto" w:fill="auto"/>
            <w:vAlign w:val="center"/>
          </w:tcPr>
          <w:p w14:paraId="21EE40D4">
            <w:pPr>
              <w:rPr>
                <w:rFonts w:ascii="宋体" w:hAnsi="宋体" w:eastAsia="宋体" w:cs="宋体"/>
                <w:color w:val="000000"/>
                <w:kern w:val="0"/>
                <w:szCs w:val="21"/>
              </w:rPr>
            </w:pPr>
            <w:r>
              <w:rPr>
                <w:rFonts w:hint="eastAsia" w:ascii="宋体" w:hAnsi="宋体" w:eastAsia="宋体" w:cs="宋体"/>
                <w:color w:val="000000"/>
                <w:kern w:val="0"/>
                <w:szCs w:val="21"/>
              </w:rPr>
              <w:t>支持自主创建和外部引入两类方式创建一门新课程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自主创建方式即由使用方独立设计制作课程内容供本校学生学习使用；外部引入方式则由使用方选定其他学校已建设的在线开放课程，复制其课程内容，供本校学生学习使用；可创建的课程类型包括三类，具体如下：</w:t>
            </w:r>
          </w:p>
          <w:p w14:paraId="23AE627E">
            <w:pPr>
              <w:rPr>
                <w:rFonts w:ascii="宋体" w:hAnsi="宋体" w:eastAsia="宋体" w:cs="宋体"/>
                <w:color w:val="000000"/>
                <w:kern w:val="0"/>
                <w:szCs w:val="21"/>
              </w:rPr>
            </w:pPr>
            <w:r>
              <w:rPr>
                <w:rFonts w:hint="eastAsia" w:ascii="宋体" w:hAnsi="宋体" w:eastAsia="宋体" w:cs="宋体"/>
                <w:color w:val="000000"/>
                <w:kern w:val="0"/>
                <w:szCs w:val="21"/>
              </w:rPr>
              <w:t>同步SPOC: 完全跟随一门正在开课的</w:t>
            </w:r>
            <w:r>
              <w:rPr>
                <w:rFonts w:hint="default" w:ascii="宋体" w:hAnsi="宋体" w:eastAsia="宋体" w:cs="宋体"/>
                <w:color w:val="000000"/>
                <w:kern w:val="0"/>
                <w:szCs w:val="21"/>
                <w:lang w:val="en-US"/>
              </w:rPr>
              <w:t>MOOC</w:t>
            </w:r>
            <w:r>
              <w:rPr>
                <w:rFonts w:hint="eastAsia" w:ascii="宋体" w:hAnsi="宋体" w:eastAsia="宋体" w:cs="宋体"/>
                <w:color w:val="000000"/>
                <w:kern w:val="0"/>
                <w:szCs w:val="21"/>
                <w:lang w:val="en-US" w:eastAsia="zh-CN"/>
              </w:rPr>
              <w:t>课程</w:t>
            </w:r>
            <w:r>
              <w:rPr>
                <w:rFonts w:hint="eastAsia" w:ascii="宋体" w:hAnsi="宋体" w:eastAsia="宋体" w:cs="宋体"/>
                <w:color w:val="000000"/>
                <w:kern w:val="0"/>
                <w:szCs w:val="21"/>
              </w:rPr>
              <w:t>或SPOC学期，</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补充内容，不能修改源课程原有内容；</w:t>
            </w:r>
          </w:p>
          <w:p w14:paraId="40CF2843">
            <w:pPr>
              <w:rPr>
                <w:rFonts w:ascii="宋体" w:hAnsi="宋体" w:eastAsia="宋体" w:cs="宋体"/>
                <w:color w:val="000000"/>
                <w:kern w:val="0"/>
                <w:szCs w:val="21"/>
              </w:rPr>
            </w:pPr>
            <w:r>
              <w:rPr>
                <w:rFonts w:hint="eastAsia" w:ascii="宋体" w:hAnsi="宋体" w:eastAsia="宋体" w:cs="宋体"/>
                <w:color w:val="000000"/>
                <w:kern w:val="0"/>
                <w:szCs w:val="21"/>
              </w:rPr>
              <w:t>异步SPOC: 拷贝一门已经结课的</w:t>
            </w:r>
            <w:r>
              <w:rPr>
                <w:rFonts w:hint="default" w:ascii="宋体" w:hAnsi="宋体" w:eastAsia="宋体" w:cs="宋体"/>
                <w:color w:val="000000"/>
                <w:kern w:val="0"/>
                <w:szCs w:val="21"/>
                <w:lang w:val="en-US"/>
              </w:rPr>
              <w:t>MOOC</w:t>
            </w:r>
            <w:r>
              <w:rPr>
                <w:rFonts w:hint="eastAsia" w:ascii="宋体" w:hAnsi="宋体" w:eastAsia="宋体" w:cs="宋体"/>
                <w:color w:val="000000"/>
                <w:kern w:val="0"/>
                <w:szCs w:val="21"/>
                <w:lang w:val="en-US" w:eastAsia="zh-CN"/>
              </w:rPr>
              <w:t>课程</w:t>
            </w:r>
            <w:r>
              <w:rPr>
                <w:rFonts w:hint="eastAsia" w:ascii="宋体" w:hAnsi="宋体" w:eastAsia="宋体" w:cs="宋体"/>
                <w:color w:val="000000"/>
                <w:kern w:val="0"/>
                <w:szCs w:val="21"/>
              </w:rPr>
              <w:t>或SPOC学期内容，</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删减原有内容</w:t>
            </w:r>
            <w:r>
              <w:rPr>
                <w:rFonts w:hint="eastAsia" w:ascii="宋体" w:hAnsi="宋体" w:eastAsia="宋体" w:cs="宋体"/>
                <w:color w:val="000000"/>
                <w:kern w:val="0"/>
                <w:szCs w:val="21"/>
                <w:lang w:val="en-US" w:eastAsia="zh-CN"/>
              </w:rPr>
              <w:t>和</w:t>
            </w:r>
            <w:r>
              <w:rPr>
                <w:rFonts w:hint="eastAsia" w:ascii="宋体" w:hAnsi="宋体" w:eastAsia="宋体" w:cs="宋体"/>
                <w:color w:val="000000"/>
                <w:kern w:val="0"/>
                <w:szCs w:val="21"/>
              </w:rPr>
              <w:t>新增补充内容；</w:t>
            </w:r>
          </w:p>
          <w:p w14:paraId="55751988">
            <w:pPr>
              <w:rPr>
                <w:rFonts w:ascii="宋体" w:hAnsi="宋体" w:eastAsia="宋体" w:cs="宋体"/>
                <w:color w:val="000000"/>
                <w:kern w:val="0"/>
                <w:szCs w:val="21"/>
              </w:rPr>
            </w:pPr>
            <w:r>
              <w:rPr>
                <w:rFonts w:hint="eastAsia" w:ascii="宋体" w:hAnsi="宋体" w:eastAsia="宋体" w:cs="宋体"/>
                <w:color w:val="000000"/>
                <w:kern w:val="0"/>
                <w:szCs w:val="21"/>
              </w:rPr>
              <w:t>独立SPOC: 单独创建一门SPOC课程，</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根据自己的教学安排发布一门专有课程。</w:t>
            </w:r>
            <w:r>
              <w:rPr>
                <w:rFonts w:hint="eastAsia" w:ascii="宋体" w:hAnsi="宋体" w:eastAsia="宋体" w:cs="宋体"/>
                <w:color w:val="000000"/>
                <w:kern w:val="0"/>
                <w:szCs w:val="21"/>
                <w:lang w:val="en-US" w:eastAsia="zh-CN"/>
              </w:rPr>
              <w:t>教师</w:t>
            </w:r>
            <w:r>
              <w:rPr>
                <w:rFonts w:hint="eastAsia" w:ascii="宋体" w:hAnsi="宋体" w:eastAsia="宋体" w:cs="宋体"/>
                <w:color w:val="000000"/>
                <w:kern w:val="0"/>
                <w:szCs w:val="21"/>
              </w:rPr>
              <w:t>创建并拥有版权的独立SPOC课程默认只开放给本校的老师、学生用户访问。</w:t>
            </w:r>
            <w:r>
              <w:rPr>
                <w:rFonts w:hint="eastAsia" w:ascii="宋体" w:hAnsi="宋体" w:eastAsia="宋体" w:cs="宋体"/>
                <w:color w:val="000000"/>
                <w:kern w:val="0"/>
                <w:szCs w:val="21"/>
                <w:lang w:val="en-US" w:eastAsia="zh-CN"/>
              </w:rPr>
              <w:t>支持设置</w:t>
            </w:r>
            <w:r>
              <w:rPr>
                <w:rFonts w:hint="eastAsia" w:ascii="宋体" w:hAnsi="宋体" w:eastAsia="宋体" w:cs="宋体"/>
                <w:color w:val="000000"/>
                <w:kern w:val="0"/>
                <w:szCs w:val="21"/>
              </w:rPr>
              <w:t>是否允许其他院校引用自己的独立SPOC课程。</w:t>
            </w:r>
          </w:p>
        </w:tc>
        <w:tc>
          <w:tcPr>
            <w:tcW w:w="660" w:type="dxa"/>
            <w:vAlign w:val="center"/>
          </w:tcPr>
          <w:p w14:paraId="1BAA4CC4">
            <w:pPr>
              <w:pStyle w:val="8"/>
              <w:rPr>
                <w:rFonts w:hint="eastAsia"/>
                <w:kern w:val="0"/>
                <w:szCs w:val="21"/>
              </w:rPr>
            </w:pPr>
          </w:p>
        </w:tc>
      </w:tr>
      <w:tr w14:paraId="108C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383311A9">
            <w:pPr>
              <w:pStyle w:val="8"/>
              <w:rPr>
                <w:rFonts w:hint="eastAsia"/>
                <w:kern w:val="0"/>
                <w:szCs w:val="21"/>
              </w:rPr>
            </w:pPr>
          </w:p>
        </w:tc>
        <w:tc>
          <w:tcPr>
            <w:tcW w:w="1482" w:type="dxa"/>
            <w:vAlign w:val="center"/>
          </w:tcPr>
          <w:p w14:paraId="4D685E9C">
            <w:pPr>
              <w:pStyle w:val="8"/>
              <w:rPr>
                <w:rFonts w:hint="eastAsia"/>
                <w:kern w:val="0"/>
                <w:szCs w:val="21"/>
              </w:rPr>
            </w:pPr>
            <w:r>
              <w:rPr>
                <w:kern w:val="0"/>
                <w:szCs w:val="21"/>
              </w:rPr>
              <w:t>2. </w:t>
            </w:r>
            <w:r>
              <w:rPr>
                <w:rFonts w:hint="eastAsia"/>
                <w:kern w:val="0"/>
                <w:szCs w:val="21"/>
              </w:rPr>
              <w:t>实现</w:t>
            </w:r>
            <w:r>
              <w:rPr>
                <w:kern w:val="0"/>
                <w:szCs w:val="21"/>
              </w:rPr>
              <w:t>课程过程管理</w:t>
            </w:r>
            <w:r>
              <w:rPr>
                <w:rFonts w:hint="eastAsia"/>
                <w:kern w:val="0"/>
                <w:szCs w:val="21"/>
              </w:rPr>
              <w:t>功能</w:t>
            </w:r>
          </w:p>
        </w:tc>
        <w:tc>
          <w:tcPr>
            <w:tcW w:w="4496" w:type="dxa"/>
            <w:shd w:val="clear" w:color="auto" w:fill="auto"/>
            <w:vAlign w:val="center"/>
          </w:tcPr>
          <w:p w14:paraId="4A358CCB">
            <w:pPr>
              <w:rPr>
                <w:rFonts w:ascii="宋体" w:hAnsi="宋体" w:eastAsia="宋体" w:cs="宋体"/>
                <w:color w:val="000000"/>
                <w:kern w:val="0"/>
                <w:szCs w:val="21"/>
              </w:rPr>
            </w:pPr>
            <w:r>
              <w:rPr>
                <w:rFonts w:hint="eastAsia" w:ascii="宋体" w:hAnsi="宋体" w:eastAsia="宋体" w:cs="宋体"/>
                <w:color w:val="000000"/>
                <w:kern w:val="0"/>
                <w:szCs w:val="21"/>
              </w:rPr>
              <w:t>支持教师按章节发布教学内容，可根据教学过程中的学情反馈，对教学内容进行更新、调整、发布；</w:t>
            </w:r>
          </w:p>
          <w:p w14:paraId="0561071D">
            <w:pPr>
              <w:rPr>
                <w:rFonts w:ascii="宋体" w:hAnsi="宋体" w:eastAsia="宋体" w:cs="宋体"/>
                <w:color w:val="000000"/>
                <w:kern w:val="0"/>
                <w:szCs w:val="21"/>
              </w:rPr>
            </w:pPr>
            <w:r>
              <w:rPr>
                <w:rFonts w:hint="eastAsia" w:ascii="宋体" w:hAnsi="宋体" w:eastAsia="宋体" w:cs="宋体"/>
                <w:color w:val="000000"/>
                <w:kern w:val="0"/>
                <w:szCs w:val="21"/>
              </w:rPr>
              <w:t>支持设置每个内容的生效时间</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包括视频、文档、随堂测验、富文本、讨论等。内容生效后学生</w:t>
            </w:r>
            <w:r>
              <w:rPr>
                <w:rFonts w:hint="eastAsia" w:ascii="宋体" w:hAnsi="宋体" w:eastAsia="宋体" w:cs="宋体"/>
                <w:color w:val="000000"/>
                <w:kern w:val="0"/>
                <w:szCs w:val="21"/>
                <w:lang w:val="en-US" w:eastAsia="zh-CN"/>
              </w:rPr>
              <w:t>方可</w:t>
            </w:r>
            <w:r>
              <w:rPr>
                <w:rFonts w:hint="eastAsia" w:ascii="宋体" w:hAnsi="宋体" w:eastAsia="宋体" w:cs="宋体"/>
                <w:color w:val="000000"/>
                <w:kern w:val="0"/>
                <w:szCs w:val="21"/>
              </w:rPr>
              <w:t>在学习页面看到响应的内容，方便老师控制教学进度。</w:t>
            </w:r>
          </w:p>
          <w:p w14:paraId="53257500">
            <w:pPr>
              <w:rPr>
                <w:rFonts w:ascii="宋体" w:hAnsi="宋体" w:eastAsia="宋体" w:cs="宋体"/>
                <w:color w:val="000000"/>
                <w:kern w:val="0"/>
                <w:szCs w:val="21"/>
              </w:rPr>
            </w:pPr>
            <w:r>
              <w:rPr>
                <w:rFonts w:hint="eastAsia" w:ascii="宋体" w:hAnsi="宋体" w:eastAsia="宋体" w:cs="宋体"/>
                <w:color w:val="000000"/>
                <w:kern w:val="0"/>
                <w:szCs w:val="21"/>
              </w:rPr>
              <w:t>支持老师评分和学生互评两种测评批改方式，以提供给学员学习成果的反馈信息</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学生之间互相批阅作业，不满意互评成绩的学生可以申诉成绩，</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教师修改成绩，或者通过加减分的方式处理成绩；</w:t>
            </w:r>
          </w:p>
          <w:p w14:paraId="3F628ED5">
            <w:pPr>
              <w:rPr>
                <w:rFonts w:ascii="宋体" w:hAnsi="宋体" w:eastAsia="宋体" w:cs="宋体"/>
                <w:color w:val="000000"/>
                <w:kern w:val="0"/>
                <w:szCs w:val="21"/>
              </w:rPr>
            </w:pPr>
            <w:r>
              <w:rPr>
                <w:rFonts w:hint="eastAsia" w:ascii="宋体" w:hAnsi="宋体" w:eastAsia="宋体" w:cs="宋体"/>
                <w:color w:val="000000"/>
                <w:kern w:val="0"/>
                <w:szCs w:val="21"/>
              </w:rPr>
              <w:t>支持教师设置针对未完成、未参与互评的学生给予考核成绩处罚。</w:t>
            </w:r>
          </w:p>
          <w:p w14:paraId="2C61820D">
            <w:pP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支持设置测验题的截止提交时间</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测验时间</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随机抽取试题</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允许学生尝试的次数，多次提交的有效得分（最高分，平均分，最后一次分值）</w:t>
            </w:r>
            <w:r>
              <w:rPr>
                <w:rFonts w:hint="eastAsia" w:ascii="宋体" w:hAnsi="宋体" w:eastAsia="宋体" w:cs="宋体"/>
                <w:color w:val="000000"/>
                <w:kern w:val="0"/>
                <w:szCs w:val="21"/>
                <w:lang w:val="en-US" w:eastAsia="zh-CN"/>
              </w:rPr>
              <w:t>等。</w:t>
            </w:r>
          </w:p>
          <w:p w14:paraId="2EC76FE6">
            <w:pP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支持设置总分的比例构成：按照百分比个性化设置成绩汇总方式，包括线上成绩，课堂活动，其他成绩等不同占比方式汇总单元测验、单元作业、考试、课程讨论所占的成绩比例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根据各部分的得分自动计算总分</w:t>
            </w:r>
            <w:r>
              <w:rPr>
                <w:rFonts w:hint="eastAsia" w:ascii="宋体" w:hAnsi="宋体" w:eastAsia="宋体" w:cs="宋体"/>
                <w:color w:val="000000"/>
                <w:kern w:val="0"/>
                <w:szCs w:val="21"/>
                <w:lang w:eastAsia="zh-CN"/>
              </w:rPr>
              <w:t>。</w:t>
            </w:r>
          </w:p>
          <w:p w14:paraId="78CFD8F8">
            <w:pPr>
              <w:rPr>
                <w:rFonts w:ascii="宋体" w:hAnsi="宋体" w:eastAsia="宋体" w:cs="宋体"/>
                <w:color w:val="000000"/>
                <w:kern w:val="0"/>
                <w:szCs w:val="21"/>
              </w:rPr>
            </w:pPr>
            <w:r>
              <w:rPr>
                <w:rFonts w:hint="eastAsia" w:ascii="宋体" w:hAnsi="宋体" w:eastAsia="宋体" w:cs="宋体"/>
                <w:color w:val="000000"/>
                <w:kern w:val="0"/>
                <w:szCs w:val="21"/>
              </w:rPr>
              <w:t>支持域外成绩导入，提供成绩导入模板。</w:t>
            </w:r>
          </w:p>
          <w:p w14:paraId="390BC6F2">
            <w:pPr>
              <w:rPr>
                <w:rFonts w:ascii="宋体" w:hAnsi="宋体" w:eastAsia="宋体" w:cs="宋体"/>
                <w:color w:val="000000"/>
                <w:kern w:val="0"/>
                <w:szCs w:val="21"/>
              </w:rPr>
            </w:pPr>
            <w:r>
              <w:rPr>
                <w:rFonts w:hint="eastAsia" w:ascii="宋体" w:hAnsi="宋体" w:eastAsia="宋体" w:cs="宋体"/>
                <w:color w:val="000000"/>
                <w:kern w:val="0"/>
                <w:szCs w:val="21"/>
              </w:rPr>
              <w:t>支持设置及格分数线及优秀分数线，系统自动统计及格和优秀成绩的学生人数。</w:t>
            </w:r>
          </w:p>
          <w:p w14:paraId="311C92A1">
            <w:pPr>
              <w:rPr>
                <w:rFonts w:ascii="宋体" w:hAnsi="宋体" w:eastAsia="宋体" w:cs="宋体"/>
                <w:color w:val="000000"/>
                <w:kern w:val="0"/>
                <w:szCs w:val="21"/>
              </w:rPr>
            </w:pPr>
            <w:r>
              <w:rPr>
                <w:rFonts w:hint="eastAsia" w:ascii="宋体" w:hAnsi="宋体" w:eastAsia="宋体" w:cs="宋体"/>
                <w:color w:val="000000"/>
                <w:kern w:val="0"/>
                <w:szCs w:val="21"/>
              </w:rPr>
              <w:t>支持老师在讨论区互动答疑，实时解答学员发表的关于作业、测试、课件内容的疑问，实现互动式教学，提升教学质量。</w:t>
            </w:r>
          </w:p>
          <w:p w14:paraId="2FF500CD">
            <w:pP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支持教师通过邮件的方式邀请学生加入选课</w:t>
            </w:r>
            <w:r>
              <w:rPr>
                <w:rFonts w:hint="eastAsia" w:ascii="宋体" w:hAnsi="宋体" w:eastAsia="宋体" w:cs="宋体"/>
                <w:color w:val="000000"/>
                <w:kern w:val="0"/>
                <w:szCs w:val="21"/>
                <w:lang w:eastAsia="zh-CN"/>
              </w:rPr>
              <w:t>。</w:t>
            </w:r>
          </w:p>
          <w:p w14:paraId="502E8EFA">
            <w:pPr>
              <w:rPr>
                <w:rFonts w:ascii="宋体" w:hAnsi="宋体" w:eastAsia="宋体" w:cs="宋体"/>
                <w:color w:val="000000"/>
                <w:kern w:val="0"/>
                <w:szCs w:val="21"/>
              </w:rPr>
            </w:pPr>
            <w:r>
              <w:rPr>
                <w:rFonts w:hint="eastAsia" w:ascii="宋体" w:hAnsi="宋体" w:eastAsia="宋体" w:cs="宋体"/>
                <w:color w:val="000000"/>
                <w:kern w:val="0"/>
                <w:szCs w:val="21"/>
              </w:rPr>
              <w:t>支持教师从已选课的学生中剔除指定的学生，避免错误选课的情况。</w:t>
            </w:r>
          </w:p>
          <w:p w14:paraId="4712EA77">
            <w:pP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支持教师对已选课的学生进行分组分班，并根据分组情况筛选查看学生成绩</w:t>
            </w:r>
            <w:r>
              <w:rPr>
                <w:rFonts w:hint="eastAsia" w:ascii="宋体" w:hAnsi="宋体" w:eastAsia="宋体" w:cs="宋体"/>
                <w:color w:val="000000"/>
                <w:kern w:val="0"/>
                <w:szCs w:val="21"/>
                <w:lang w:eastAsia="zh-CN"/>
              </w:rPr>
              <w:t>。</w:t>
            </w:r>
          </w:p>
          <w:p w14:paraId="050CAB86">
            <w:pPr>
              <w:rPr>
                <w:rFonts w:ascii="宋体" w:hAnsi="宋体" w:eastAsia="宋体" w:cs="宋体"/>
                <w:color w:val="000000"/>
                <w:kern w:val="0"/>
                <w:szCs w:val="21"/>
              </w:rPr>
            </w:pPr>
            <w:r>
              <w:rPr>
                <w:rFonts w:hint="eastAsia" w:ascii="宋体" w:hAnsi="宋体" w:eastAsia="宋体" w:cs="宋体"/>
                <w:color w:val="000000"/>
                <w:kern w:val="0"/>
                <w:szCs w:val="21"/>
              </w:rPr>
              <w:t>支持教师在后台编辑发布公告，所有的学生在学习页面</w:t>
            </w:r>
            <w:r>
              <w:rPr>
                <w:rFonts w:hint="eastAsia" w:ascii="宋体" w:hAnsi="宋体" w:eastAsia="宋体" w:cs="宋体"/>
                <w:color w:val="000000"/>
                <w:kern w:val="0"/>
                <w:szCs w:val="21"/>
                <w:lang w:eastAsia="zh-CN"/>
              </w:rPr>
              <w:t>可</w:t>
            </w:r>
            <w:r>
              <w:rPr>
                <w:rFonts w:hint="eastAsia" w:ascii="宋体" w:hAnsi="宋体" w:eastAsia="宋体" w:cs="宋体"/>
                <w:color w:val="000000"/>
                <w:kern w:val="0"/>
                <w:szCs w:val="21"/>
              </w:rPr>
              <w:t>看到教师发布的公告。同时支持公告以邮件的方式同步发出。</w:t>
            </w:r>
          </w:p>
          <w:p w14:paraId="166BCF93">
            <w:pPr>
              <w:rPr>
                <w:rFonts w:ascii="宋体" w:hAnsi="宋体" w:eastAsia="宋体" w:cs="宋体"/>
                <w:color w:val="000000"/>
                <w:kern w:val="0"/>
                <w:szCs w:val="21"/>
              </w:rPr>
            </w:pPr>
            <w:r>
              <w:rPr>
                <w:rFonts w:hint="eastAsia" w:ascii="宋体" w:hAnsi="宋体" w:eastAsia="宋体" w:cs="宋体"/>
                <w:color w:val="000000"/>
                <w:kern w:val="0"/>
                <w:szCs w:val="21"/>
              </w:rPr>
              <w:t>支持视频库功能</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所有的教学视频上传到统一的视频库，在发布课程章节内容时，直接从视频库中引用所需的教学视频资源，节省时间，提高效率。</w:t>
            </w:r>
          </w:p>
          <w:p w14:paraId="47D758A6">
            <w:pPr>
              <w:rPr>
                <w:rFonts w:hint="eastAsia" w:ascii="宋体" w:hAnsi="宋体" w:eastAsia="宋体" w:cs="宋体"/>
                <w:color w:val="000000"/>
                <w:kern w:val="0"/>
                <w:szCs w:val="21"/>
              </w:rPr>
            </w:pPr>
            <w:r>
              <w:rPr>
                <w:rFonts w:hint="eastAsia" w:ascii="宋体" w:hAnsi="宋体" w:eastAsia="宋体" w:cs="宋体"/>
                <w:color w:val="000000"/>
                <w:kern w:val="0"/>
                <w:szCs w:val="21"/>
              </w:rPr>
              <w:t>支持教师在后台向全体学生或个别学生发邮件。</w:t>
            </w:r>
          </w:p>
          <w:p w14:paraId="53CD0A99">
            <w:pPr>
              <w:rPr>
                <w:rFonts w:ascii="宋体" w:hAnsi="宋体" w:eastAsia="宋体" w:cs="宋体"/>
                <w:color w:val="000000"/>
                <w:kern w:val="0"/>
                <w:szCs w:val="21"/>
              </w:rPr>
            </w:pPr>
            <w:r>
              <w:rPr>
                <w:rFonts w:hint="eastAsia" w:ascii="宋体" w:hAnsi="宋体" w:eastAsia="宋体" w:cs="宋体"/>
                <w:b w:val="0"/>
                <w:bCs w:val="0"/>
                <w:color w:val="000000"/>
                <w:kern w:val="0"/>
                <w:sz w:val="21"/>
                <w:szCs w:val="21"/>
                <w:lang w:val="en-US" w:eastAsia="zh-CN"/>
              </w:rPr>
              <w:t>支持</w:t>
            </w:r>
            <w:r>
              <w:rPr>
                <w:rFonts w:hint="eastAsia" w:ascii="宋体" w:hAnsi="宋体" w:eastAsia="宋体" w:cs="宋体"/>
                <w:color w:val="000000"/>
                <w:kern w:val="0"/>
                <w:szCs w:val="21"/>
              </w:rPr>
              <w:t>创建用于线下课堂所需活动方案，至少包含：课堂练习、讨论、问卷等备课活动。</w:t>
            </w:r>
          </w:p>
          <w:p w14:paraId="52403303">
            <w:pPr>
              <w:rPr>
                <w:rFonts w:ascii="宋体" w:hAnsi="宋体" w:eastAsia="宋体" w:cs="宋体"/>
                <w:color w:val="000000"/>
                <w:kern w:val="0"/>
                <w:szCs w:val="21"/>
              </w:rPr>
            </w:pPr>
            <w:r>
              <w:rPr>
                <w:rFonts w:hint="eastAsia" w:ascii="宋体" w:hAnsi="宋体" w:eastAsia="宋体" w:cs="宋体"/>
                <w:color w:val="000000"/>
                <w:kern w:val="0"/>
                <w:szCs w:val="21"/>
              </w:rPr>
              <w:t>至少针对学生的线上学习表现（线上学习成绩、视频学习情况）和线下课堂表现（签到、练习、互动等）两部分计分，系统自动根据教师自由设置的各项评分占比，而统计线上线下整体成绩</w:t>
            </w:r>
            <w:r>
              <w:rPr>
                <w:kern w:val="0"/>
                <w:szCs w:val="21"/>
              </w:rPr>
              <w:t>。</w:t>
            </w:r>
          </w:p>
        </w:tc>
        <w:tc>
          <w:tcPr>
            <w:tcW w:w="660" w:type="dxa"/>
            <w:vAlign w:val="center"/>
          </w:tcPr>
          <w:p w14:paraId="6B3B1F1D">
            <w:pPr>
              <w:pStyle w:val="8"/>
              <w:rPr>
                <w:rFonts w:hint="eastAsia"/>
                <w:kern w:val="0"/>
                <w:szCs w:val="21"/>
              </w:rPr>
            </w:pPr>
          </w:p>
        </w:tc>
      </w:tr>
      <w:tr w14:paraId="6AFF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52246E04">
            <w:pPr>
              <w:pStyle w:val="8"/>
              <w:rPr>
                <w:rFonts w:hint="eastAsia"/>
                <w:kern w:val="0"/>
                <w:szCs w:val="21"/>
              </w:rPr>
            </w:pPr>
          </w:p>
        </w:tc>
        <w:tc>
          <w:tcPr>
            <w:tcW w:w="1482" w:type="dxa"/>
            <w:vAlign w:val="center"/>
          </w:tcPr>
          <w:p w14:paraId="63D894AC">
            <w:pPr>
              <w:pStyle w:val="8"/>
              <w:rPr>
                <w:rFonts w:hint="eastAsia"/>
                <w:kern w:val="0"/>
                <w:szCs w:val="21"/>
              </w:rPr>
            </w:pPr>
            <w:r>
              <w:rPr>
                <w:rFonts w:ascii="Segoe UI" w:hAnsi="Segoe UI" w:cs="Segoe UI"/>
                <w:color w:val="404040"/>
                <w:kern w:val="0"/>
                <w:szCs w:val="20"/>
              </w:rPr>
              <w:t>3. </w:t>
            </w:r>
            <w:r>
              <w:rPr>
                <w:rFonts w:hint="eastAsia" w:ascii="Segoe UI" w:hAnsi="Segoe UI" w:cs="Segoe UI"/>
                <w:color w:val="404040"/>
                <w:kern w:val="0"/>
                <w:szCs w:val="20"/>
              </w:rPr>
              <w:t>支持</w:t>
            </w:r>
            <w:r>
              <w:rPr>
                <w:rStyle w:val="12"/>
                <w:rFonts w:ascii="Segoe UI" w:hAnsi="Segoe UI" w:cs="Segoe UI"/>
                <w:b w:val="0"/>
                <w:bCs w:val="0"/>
                <w:color w:val="404040"/>
                <w:kern w:val="0"/>
                <w:szCs w:val="20"/>
              </w:rPr>
              <w:t>课程结课管理</w:t>
            </w:r>
            <w:r>
              <w:rPr>
                <w:rStyle w:val="12"/>
                <w:rFonts w:hint="eastAsia"/>
                <w:b w:val="0"/>
                <w:bCs w:val="0"/>
                <w:kern w:val="0"/>
                <w:szCs w:val="20"/>
              </w:rPr>
              <w:t>功能</w:t>
            </w:r>
          </w:p>
        </w:tc>
        <w:tc>
          <w:tcPr>
            <w:tcW w:w="4496" w:type="dxa"/>
            <w:shd w:val="clear" w:color="auto" w:fill="auto"/>
            <w:vAlign w:val="center"/>
          </w:tcPr>
          <w:p w14:paraId="1DDD4AF6">
            <w:pPr>
              <w:rPr>
                <w:rFonts w:ascii="宋体" w:hAnsi="宋体" w:eastAsia="宋体" w:cs="宋体"/>
                <w:color w:val="000000"/>
                <w:kern w:val="0"/>
                <w:szCs w:val="21"/>
              </w:rPr>
            </w:pPr>
            <w:r>
              <w:rPr>
                <w:rFonts w:hint="eastAsia" w:ascii="宋体" w:hAnsi="宋体" w:eastAsia="宋体" w:cs="宋体"/>
                <w:color w:val="000000"/>
                <w:kern w:val="0"/>
                <w:szCs w:val="21"/>
              </w:rPr>
              <w:t>支持课程结束后设置学员的查看权限，</w:t>
            </w:r>
            <w:r>
              <w:rPr>
                <w:rFonts w:hint="eastAsia" w:ascii="宋体" w:hAnsi="宋体" w:eastAsia="宋体" w:cs="宋体"/>
                <w:color w:val="000000"/>
                <w:kern w:val="0"/>
                <w:szCs w:val="21"/>
                <w:lang w:val="en-US" w:eastAsia="zh-CN"/>
              </w:rPr>
              <w:t>包括</w:t>
            </w:r>
            <w:r>
              <w:rPr>
                <w:rFonts w:hint="eastAsia" w:ascii="宋体" w:hAnsi="宋体" w:eastAsia="宋体" w:cs="宋体"/>
                <w:color w:val="000000"/>
                <w:kern w:val="0"/>
                <w:szCs w:val="21"/>
              </w:rPr>
              <w:t>：</w:t>
            </w:r>
          </w:p>
          <w:p w14:paraId="24DD0801">
            <w:pPr>
              <w:rPr>
                <w:rFonts w:ascii="宋体" w:hAnsi="宋体" w:eastAsia="宋体" w:cs="宋体"/>
                <w:color w:val="000000"/>
                <w:kern w:val="0"/>
                <w:szCs w:val="21"/>
              </w:rPr>
            </w:pPr>
            <w:r>
              <w:rPr>
                <w:rFonts w:hint="eastAsia" w:ascii="宋体" w:hAnsi="宋体" w:eastAsia="宋体" w:cs="宋体"/>
                <w:color w:val="000000"/>
                <w:kern w:val="0"/>
                <w:szCs w:val="21"/>
              </w:rPr>
              <w:t>完全开放：未选课的</w:t>
            </w:r>
            <w:r>
              <w:rPr>
                <w:rFonts w:hint="eastAsia" w:ascii="宋体" w:hAnsi="宋体" w:eastAsia="宋体" w:cs="宋体"/>
                <w:color w:val="000000"/>
                <w:kern w:val="0"/>
                <w:szCs w:val="21"/>
                <w:lang w:val="en-US" w:eastAsia="zh-CN"/>
              </w:rPr>
              <w:t>学生</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只读</w:t>
            </w:r>
            <w:r>
              <w:rPr>
                <w:rFonts w:hint="eastAsia" w:ascii="宋体" w:hAnsi="宋体" w:eastAsia="宋体" w:cs="宋体"/>
                <w:color w:val="000000"/>
                <w:kern w:val="0"/>
                <w:szCs w:val="21"/>
                <w:lang w:val="en-US" w:eastAsia="zh-CN"/>
              </w:rPr>
              <w:t>课程</w:t>
            </w:r>
            <w:r>
              <w:rPr>
                <w:rFonts w:hint="eastAsia" w:ascii="宋体" w:hAnsi="宋体" w:eastAsia="宋体" w:cs="宋体"/>
                <w:color w:val="000000"/>
                <w:kern w:val="0"/>
                <w:szCs w:val="21"/>
              </w:rPr>
              <w:t>（要求有足够影响力）；</w:t>
            </w:r>
          </w:p>
          <w:p w14:paraId="4485F4DE">
            <w:pPr>
              <w:rPr>
                <w:rFonts w:ascii="宋体" w:hAnsi="宋体" w:eastAsia="宋体" w:cs="宋体"/>
                <w:color w:val="000000"/>
                <w:kern w:val="0"/>
                <w:szCs w:val="21"/>
              </w:rPr>
            </w:pPr>
            <w:r>
              <w:rPr>
                <w:rFonts w:hint="eastAsia" w:ascii="宋体" w:hAnsi="宋体" w:eastAsia="宋体" w:cs="宋体"/>
                <w:color w:val="000000"/>
                <w:kern w:val="0"/>
                <w:szCs w:val="21"/>
              </w:rPr>
              <w:t>半关闭：学过的</w:t>
            </w:r>
            <w:r>
              <w:rPr>
                <w:rFonts w:hint="eastAsia" w:ascii="宋体" w:hAnsi="宋体" w:eastAsia="宋体" w:cs="宋体"/>
                <w:color w:val="000000"/>
                <w:kern w:val="0"/>
                <w:szCs w:val="21"/>
                <w:lang w:val="en-US" w:eastAsia="zh-CN"/>
              </w:rPr>
              <w:t>学生</w:t>
            </w:r>
            <w:r>
              <w:rPr>
                <w:rFonts w:hint="eastAsia" w:ascii="宋体" w:hAnsi="宋体" w:eastAsia="宋体" w:cs="宋体"/>
                <w:color w:val="000000"/>
                <w:kern w:val="0"/>
                <w:szCs w:val="21"/>
              </w:rPr>
              <w:t>可以再</w:t>
            </w:r>
            <w:r>
              <w:rPr>
                <w:rFonts w:hint="eastAsia" w:ascii="宋体" w:hAnsi="宋体" w:eastAsia="宋体" w:cs="宋体"/>
                <w:color w:val="000000"/>
                <w:kern w:val="0"/>
                <w:szCs w:val="21"/>
                <w:lang w:val="en-US" w:eastAsia="zh-CN"/>
              </w:rPr>
              <w:t>次查</w:t>
            </w:r>
            <w:r>
              <w:rPr>
                <w:rFonts w:hint="eastAsia" w:ascii="宋体" w:hAnsi="宋体" w:eastAsia="宋体" w:cs="宋体"/>
                <w:color w:val="000000"/>
                <w:kern w:val="0"/>
                <w:szCs w:val="21"/>
              </w:rPr>
              <w:t>看所有视频和文档、作业，但只能看不能操作。</w:t>
            </w:r>
          </w:p>
          <w:p w14:paraId="33A15DBE">
            <w:pPr>
              <w:rPr>
                <w:rFonts w:ascii="宋体" w:hAnsi="宋体" w:eastAsia="宋体" w:cs="宋体"/>
                <w:color w:val="000000"/>
                <w:kern w:val="0"/>
                <w:szCs w:val="21"/>
              </w:rPr>
            </w:pPr>
            <w:r>
              <w:rPr>
                <w:rFonts w:hint="eastAsia" w:ascii="宋体" w:hAnsi="宋体" w:eastAsia="宋体" w:cs="宋体"/>
                <w:color w:val="000000"/>
                <w:kern w:val="0"/>
                <w:szCs w:val="21"/>
              </w:rPr>
              <w:t>关闭：学过的人只能看到自己的学习记录</w:t>
            </w:r>
            <w:r>
              <w:rPr>
                <w:rFonts w:hint="eastAsia" w:ascii="宋体" w:hAnsi="宋体" w:eastAsia="宋体" w:cs="宋体"/>
                <w:color w:val="000000"/>
                <w:kern w:val="0"/>
                <w:szCs w:val="21"/>
                <w:lang w:val="en-US" w:eastAsia="zh-CN"/>
              </w:rPr>
              <w:t>和</w:t>
            </w:r>
            <w:r>
              <w:rPr>
                <w:rFonts w:hint="eastAsia" w:ascii="宋体" w:hAnsi="宋体" w:eastAsia="宋体" w:cs="宋体"/>
                <w:color w:val="000000"/>
                <w:kern w:val="0"/>
                <w:szCs w:val="21"/>
              </w:rPr>
              <w:t>课程详情页。</w:t>
            </w:r>
          </w:p>
        </w:tc>
        <w:tc>
          <w:tcPr>
            <w:tcW w:w="660" w:type="dxa"/>
            <w:vAlign w:val="center"/>
          </w:tcPr>
          <w:p w14:paraId="2B665672">
            <w:pPr>
              <w:pStyle w:val="8"/>
              <w:rPr>
                <w:rFonts w:hint="eastAsia"/>
                <w:kern w:val="0"/>
                <w:szCs w:val="21"/>
              </w:rPr>
            </w:pPr>
          </w:p>
        </w:tc>
      </w:tr>
      <w:tr w14:paraId="23CD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5607A9C2">
            <w:pPr>
              <w:pStyle w:val="8"/>
              <w:rPr>
                <w:rFonts w:hint="eastAsia"/>
                <w:kern w:val="0"/>
                <w:szCs w:val="21"/>
              </w:rPr>
            </w:pPr>
          </w:p>
        </w:tc>
        <w:tc>
          <w:tcPr>
            <w:tcW w:w="1482" w:type="dxa"/>
            <w:vAlign w:val="center"/>
          </w:tcPr>
          <w:p w14:paraId="04355EF2">
            <w:pPr>
              <w:pStyle w:val="8"/>
              <w:rPr>
                <w:rFonts w:hint="eastAsia"/>
                <w:kern w:val="0"/>
                <w:szCs w:val="21"/>
              </w:rPr>
            </w:pPr>
            <w:r>
              <w:rPr>
                <w:rFonts w:hint="eastAsia" w:ascii="Segoe UI" w:hAnsi="Segoe UI" w:cs="Segoe UI"/>
                <w:color w:val="404040"/>
                <w:kern w:val="0"/>
                <w:szCs w:val="20"/>
              </w:rPr>
              <w:t>4</w:t>
            </w:r>
            <w:r>
              <w:rPr>
                <w:rFonts w:ascii="Segoe UI" w:hAnsi="Segoe UI" w:cs="Segoe UI"/>
                <w:color w:val="404040"/>
                <w:kern w:val="0"/>
                <w:szCs w:val="20"/>
              </w:rPr>
              <w:t>. </w:t>
            </w:r>
            <w:r>
              <w:rPr>
                <w:rFonts w:hint="eastAsia" w:ascii="Segoe UI" w:hAnsi="Segoe UI" w:cs="Segoe UI"/>
                <w:color w:val="404040"/>
                <w:kern w:val="0"/>
                <w:szCs w:val="20"/>
              </w:rPr>
              <w:t>实现</w:t>
            </w:r>
            <w:r>
              <w:rPr>
                <w:rStyle w:val="12"/>
                <w:rFonts w:ascii="Segoe UI" w:hAnsi="Segoe UI" w:cs="Segoe UI"/>
                <w:b w:val="0"/>
                <w:bCs w:val="0"/>
                <w:color w:val="404040"/>
                <w:kern w:val="0"/>
                <w:szCs w:val="20"/>
              </w:rPr>
              <w:t>课程版权管理</w:t>
            </w:r>
            <w:r>
              <w:rPr>
                <w:rStyle w:val="12"/>
                <w:rFonts w:hint="eastAsia" w:ascii="Segoe UI" w:hAnsi="Segoe UI" w:cs="Segoe UI"/>
                <w:b w:val="0"/>
                <w:bCs w:val="0"/>
                <w:color w:val="404040"/>
                <w:kern w:val="0"/>
                <w:szCs w:val="20"/>
              </w:rPr>
              <w:t>功能</w:t>
            </w:r>
          </w:p>
        </w:tc>
        <w:tc>
          <w:tcPr>
            <w:tcW w:w="4496" w:type="dxa"/>
            <w:shd w:val="clear" w:color="auto" w:fill="auto"/>
            <w:vAlign w:val="center"/>
          </w:tcPr>
          <w:p w14:paraId="270FAF9D">
            <w:pPr>
              <w:rPr>
                <w:rFonts w:ascii="宋体" w:hAnsi="宋体" w:eastAsia="宋体" w:cs="宋体"/>
                <w:color w:val="000000"/>
                <w:kern w:val="0"/>
                <w:szCs w:val="21"/>
              </w:rPr>
            </w:pPr>
            <w:r>
              <w:rPr>
                <w:rFonts w:hint="eastAsia" w:ascii="宋体" w:hAnsi="宋体" w:eastAsia="宋体" w:cs="宋体"/>
                <w:color w:val="000000"/>
                <w:kern w:val="0"/>
                <w:szCs w:val="21"/>
              </w:rPr>
              <w:t>针对不同类型的慕课课程，支持对课程版权的差异化设置（本平台上的课程版权是指该课程内容是否允许非本人以外的其他课程老师直接复用或拷贝使用）</w:t>
            </w:r>
            <w:r>
              <w:rPr>
                <w:rFonts w:hint="eastAsia" w:ascii="宋体" w:hAnsi="宋体" w:eastAsia="宋体" w:cs="宋体"/>
                <w:color w:val="000000"/>
                <w:kern w:val="0"/>
                <w:szCs w:val="21"/>
                <w:lang w:val="en-US" w:eastAsia="zh-CN"/>
              </w:rPr>
              <w:t>包括</w:t>
            </w:r>
            <w:r>
              <w:rPr>
                <w:rFonts w:hint="eastAsia" w:ascii="宋体" w:hAnsi="宋体" w:eastAsia="宋体" w:cs="宋体"/>
                <w:color w:val="000000"/>
                <w:kern w:val="0"/>
                <w:szCs w:val="21"/>
              </w:rPr>
              <w:t>以下三类：</w:t>
            </w:r>
          </w:p>
          <w:p w14:paraId="227E42B6">
            <w:pPr>
              <w:rPr>
                <w:rFonts w:ascii="宋体" w:hAnsi="宋体" w:eastAsia="宋体" w:cs="宋体"/>
                <w:color w:val="000000"/>
                <w:kern w:val="0"/>
                <w:szCs w:val="21"/>
              </w:rPr>
            </w:pPr>
            <w:r>
              <w:rPr>
                <w:rFonts w:hint="eastAsia" w:ascii="宋体" w:hAnsi="宋体" w:eastAsia="宋体" w:cs="宋体"/>
                <w:color w:val="000000"/>
                <w:kern w:val="0"/>
                <w:szCs w:val="21"/>
              </w:rPr>
              <w:t>不允许任何课程直接使用或拷贝该课程资源；</w:t>
            </w:r>
          </w:p>
          <w:p w14:paraId="5D92B5FA">
            <w:pPr>
              <w:rPr>
                <w:rFonts w:ascii="宋体" w:hAnsi="宋体" w:eastAsia="宋体" w:cs="宋体"/>
                <w:color w:val="000000"/>
                <w:kern w:val="0"/>
                <w:szCs w:val="21"/>
              </w:rPr>
            </w:pPr>
            <w:r>
              <w:rPr>
                <w:rFonts w:hint="eastAsia" w:ascii="宋体" w:hAnsi="宋体" w:eastAsia="宋体" w:cs="宋体"/>
                <w:color w:val="000000"/>
                <w:kern w:val="0"/>
                <w:szCs w:val="21"/>
              </w:rPr>
              <w:t>允许同步SPOC课程复用（同步SPOC课程完全跟随源课程教学设计，使用者仅可在源课程原有内容上补充）；</w:t>
            </w:r>
          </w:p>
          <w:p w14:paraId="02BAD8C2">
            <w:pPr>
              <w:rPr>
                <w:rFonts w:ascii="宋体" w:hAnsi="宋体" w:eastAsia="宋体" w:cs="宋体"/>
                <w:color w:val="000000"/>
                <w:kern w:val="0"/>
                <w:szCs w:val="21"/>
              </w:rPr>
            </w:pPr>
            <w:r>
              <w:rPr>
                <w:rFonts w:hint="eastAsia" w:ascii="宋体" w:hAnsi="宋体" w:eastAsia="宋体" w:cs="宋体"/>
                <w:color w:val="000000"/>
                <w:kern w:val="0"/>
                <w:szCs w:val="21"/>
              </w:rPr>
              <w:t>允许异步SPOC课程复用（异步SPOC拷贝一门已经结课的源课程学期内容，使用者可以在原内容基础上删减、补充）。</w:t>
            </w:r>
          </w:p>
        </w:tc>
        <w:tc>
          <w:tcPr>
            <w:tcW w:w="660" w:type="dxa"/>
            <w:vAlign w:val="center"/>
          </w:tcPr>
          <w:p w14:paraId="03576D02">
            <w:pPr>
              <w:pStyle w:val="8"/>
              <w:rPr>
                <w:rFonts w:hint="eastAsia"/>
                <w:kern w:val="0"/>
                <w:szCs w:val="21"/>
              </w:rPr>
            </w:pPr>
          </w:p>
        </w:tc>
      </w:tr>
      <w:tr w14:paraId="2457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0" w:hRule="atLeast"/>
        </w:trPr>
        <w:tc>
          <w:tcPr>
            <w:tcW w:w="1388" w:type="dxa"/>
            <w:vMerge w:val="continue"/>
            <w:vAlign w:val="center"/>
          </w:tcPr>
          <w:p w14:paraId="56E4DE3D">
            <w:pPr>
              <w:pStyle w:val="8"/>
              <w:rPr>
                <w:rFonts w:hint="eastAsia"/>
                <w:kern w:val="0"/>
                <w:szCs w:val="21"/>
              </w:rPr>
            </w:pPr>
          </w:p>
        </w:tc>
        <w:tc>
          <w:tcPr>
            <w:tcW w:w="1482" w:type="dxa"/>
            <w:vAlign w:val="center"/>
          </w:tcPr>
          <w:p w14:paraId="346ED7E1">
            <w:pPr>
              <w:pStyle w:val="8"/>
              <w:rPr>
                <w:rFonts w:hint="eastAsia"/>
                <w:kern w:val="0"/>
                <w:szCs w:val="21"/>
              </w:rPr>
            </w:pPr>
            <w:r>
              <w:rPr>
                <w:rFonts w:hint="eastAsia"/>
                <w:kern w:val="0"/>
                <w:szCs w:val="21"/>
              </w:rPr>
              <w:t>5.支持课程权限管理功能</w:t>
            </w:r>
          </w:p>
        </w:tc>
        <w:tc>
          <w:tcPr>
            <w:tcW w:w="4496" w:type="dxa"/>
            <w:shd w:val="clear" w:color="auto" w:fill="auto"/>
            <w:vAlign w:val="center"/>
          </w:tcPr>
          <w:p w14:paraId="2780EA8B">
            <w:pPr>
              <w:rPr>
                <w:rFonts w:ascii="宋体" w:hAnsi="宋体" w:eastAsia="宋体" w:cs="宋体"/>
                <w:color w:val="000000"/>
                <w:kern w:val="0"/>
                <w:szCs w:val="21"/>
              </w:rPr>
            </w:pPr>
            <w:r>
              <w:rPr>
                <w:rFonts w:hint="eastAsia" w:ascii="宋体" w:hAnsi="宋体" w:eastAsia="宋体" w:cs="宋体"/>
                <w:color w:val="000000"/>
                <w:kern w:val="0"/>
                <w:szCs w:val="21"/>
              </w:rPr>
              <w:t>针对同一门慕课课程，支持对不同角色用户赋予不同的课程编辑权限：</w:t>
            </w:r>
          </w:p>
          <w:p w14:paraId="5A47E0D9">
            <w:pPr>
              <w:rPr>
                <w:rFonts w:ascii="宋体" w:hAnsi="宋体" w:eastAsia="宋体" w:cs="宋体"/>
                <w:color w:val="000000"/>
                <w:kern w:val="0"/>
                <w:szCs w:val="21"/>
              </w:rPr>
            </w:pPr>
            <w:r>
              <w:rPr>
                <w:rFonts w:hint="eastAsia" w:ascii="宋体" w:hAnsi="宋体" w:eastAsia="宋体" w:cs="宋体"/>
                <w:color w:val="000000"/>
                <w:kern w:val="0"/>
                <w:szCs w:val="21"/>
              </w:rPr>
              <w:t>学校管理员：包括创建课程，设置课程类型、课程名称、课程编码，添加本校老师，指定课程的学期负责人，制定学期课程开课时间和结束时间，课程是否收费，以及设置课程复用版权等权限；</w:t>
            </w:r>
          </w:p>
          <w:p w14:paraId="6ECC5BF0">
            <w:pPr>
              <w:rPr>
                <w:rFonts w:ascii="宋体" w:hAnsi="宋体" w:eastAsia="宋体" w:cs="宋体"/>
                <w:color w:val="000000"/>
                <w:kern w:val="0"/>
                <w:szCs w:val="21"/>
              </w:rPr>
            </w:pPr>
            <w:r>
              <w:rPr>
                <w:rFonts w:hint="eastAsia" w:ascii="宋体" w:hAnsi="宋体" w:eastAsia="宋体" w:cs="宋体"/>
                <w:color w:val="000000"/>
                <w:kern w:val="0"/>
                <w:szCs w:val="21"/>
              </w:rPr>
              <w:t>课程负责人：包括设置课程团队（即指定该课程的教师、助教），设置课程介绍内容（包括课程分类、课程内容类型、课程介绍、预备知识介绍、课程介绍图片、课程介绍视频、授课目标、课程大纲、参考资料、常见问题等），设置课程学习内容（包括课程公告、课程评分方式、课程教学课件、课程随堂测验、课程单元作业、课程考试测评、课程讨论区等），按章节发布课程教学单元，在线讨论区答疑、学生成绩管理、课程数据查询、结课设置等权限；</w:t>
            </w:r>
          </w:p>
          <w:p w14:paraId="59045505">
            <w:pPr>
              <w:rPr>
                <w:rFonts w:ascii="宋体" w:hAnsi="宋体" w:eastAsia="宋体" w:cs="宋体"/>
                <w:color w:val="000000"/>
                <w:kern w:val="0"/>
                <w:szCs w:val="21"/>
              </w:rPr>
            </w:pPr>
            <w:r>
              <w:rPr>
                <w:rFonts w:hint="eastAsia" w:ascii="宋体" w:hAnsi="宋体" w:eastAsia="宋体" w:cs="宋体"/>
                <w:color w:val="000000"/>
                <w:kern w:val="0"/>
                <w:szCs w:val="21"/>
              </w:rPr>
              <w:t>教师（助教）：包括设置课程介绍内容（包括课程分类、课程内容类型、课程介绍、预备知识介绍、课程介绍图片、课程介绍视频、授课目标、课程大纲、参考资料、常见问题等），设置课程学习内容（包括课程公告、课程评分方式、课程教学课件、课程随堂测验、课程单元作业、课程考试测评、课程讨论区等），按章节发布课程教学单元，在线讨论区答疑、课程数据查询、结课设置等权限；</w:t>
            </w:r>
          </w:p>
          <w:p w14:paraId="58989C18">
            <w:pP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学生</w:t>
            </w:r>
            <w:r>
              <w:rPr>
                <w:rFonts w:hint="eastAsia" w:ascii="宋体" w:hAnsi="宋体" w:eastAsia="宋体" w:cs="宋体"/>
                <w:color w:val="000000"/>
                <w:kern w:val="0"/>
                <w:szCs w:val="21"/>
              </w:rPr>
              <w:t>：包括课程申请报名，课程内容学习，讨论区互动，学习证书申领等权限。</w:t>
            </w:r>
          </w:p>
        </w:tc>
        <w:tc>
          <w:tcPr>
            <w:tcW w:w="660" w:type="dxa"/>
            <w:vAlign w:val="center"/>
          </w:tcPr>
          <w:p w14:paraId="3E152867">
            <w:pPr>
              <w:pStyle w:val="8"/>
              <w:rPr>
                <w:rFonts w:hint="eastAsia"/>
                <w:kern w:val="0"/>
                <w:szCs w:val="21"/>
              </w:rPr>
            </w:pPr>
          </w:p>
        </w:tc>
      </w:tr>
      <w:tr w14:paraId="7CCA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restart"/>
            <w:vAlign w:val="center"/>
          </w:tcPr>
          <w:p w14:paraId="3FAF73D8">
            <w:pPr>
              <w:pStyle w:val="8"/>
              <w:rPr>
                <w:rFonts w:hint="eastAsia"/>
                <w:kern w:val="0"/>
                <w:szCs w:val="21"/>
              </w:rPr>
            </w:pPr>
            <w:r>
              <w:rPr>
                <w:rFonts w:hint="eastAsia"/>
                <w:kern w:val="0"/>
                <w:szCs w:val="21"/>
                <w:lang w:val="en-US" w:eastAsia="zh-CN"/>
              </w:rPr>
              <w:t>七</w:t>
            </w:r>
            <w:r>
              <w:rPr>
                <w:kern w:val="0"/>
                <w:szCs w:val="21"/>
              </w:rPr>
              <w:t>、数据统计分析</w:t>
            </w:r>
          </w:p>
        </w:tc>
        <w:tc>
          <w:tcPr>
            <w:tcW w:w="1482" w:type="dxa"/>
            <w:vAlign w:val="center"/>
          </w:tcPr>
          <w:p w14:paraId="1242536B">
            <w:pPr>
              <w:pStyle w:val="8"/>
              <w:rPr>
                <w:rFonts w:hint="eastAsia"/>
                <w:kern w:val="0"/>
                <w:szCs w:val="21"/>
              </w:rPr>
            </w:pPr>
            <w:r>
              <w:rPr>
                <w:kern w:val="0"/>
                <w:szCs w:val="21"/>
              </w:rPr>
              <w:t>1. </w:t>
            </w:r>
            <w:r>
              <w:rPr>
                <w:rFonts w:hint="eastAsia"/>
                <w:kern w:val="0"/>
                <w:szCs w:val="21"/>
              </w:rPr>
              <w:t>支持</w:t>
            </w:r>
            <w:r>
              <w:rPr>
                <w:kern w:val="0"/>
                <w:szCs w:val="21"/>
              </w:rPr>
              <w:t>学校数据统计</w:t>
            </w:r>
          </w:p>
        </w:tc>
        <w:tc>
          <w:tcPr>
            <w:tcW w:w="4496" w:type="dxa"/>
            <w:shd w:val="clear" w:color="auto" w:fill="auto"/>
            <w:vAlign w:val="center"/>
          </w:tcPr>
          <w:p w14:paraId="401D29F3">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rPr>
              <w:t>支持学校整体数据统计分析：包括线上课程、混合式教学工具、老师、学生的整体建设情况。</w:t>
            </w:r>
          </w:p>
          <w:p w14:paraId="625410A4">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实时显示当日该校学生的登录数据。</w:t>
            </w:r>
          </w:p>
          <w:p w14:paraId="1608EBF9">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统计每日平台的线上课程访问日活跃数据、线下课堂日活跃数据、视频学习时长数据。</w:t>
            </w:r>
          </w:p>
          <w:p w14:paraId="638FAB91">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支持</w:t>
            </w:r>
            <w:r>
              <w:rPr>
                <w:rFonts w:hint="eastAsia" w:ascii="宋体" w:hAnsi="宋体" w:eastAsia="宋体" w:cs="宋体"/>
                <w:color w:val="000000"/>
                <w:kern w:val="0"/>
                <w:szCs w:val="21"/>
              </w:rPr>
              <w:t>统计分析指定时间段内线上课程、混合式教学工具以及具体课件和课堂活动的建设情况。</w:t>
            </w:r>
          </w:p>
          <w:p w14:paraId="0E2ECA1D">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rPr>
              <w:t>支持查看每个课程学期、每个混合式教学工具的具体数据。</w:t>
            </w:r>
          </w:p>
          <w:p w14:paraId="62AC5604">
            <w:pPr>
              <w:numPr>
                <w:ilvl w:val="0"/>
                <w:numId w:val="2"/>
              </w:numPr>
              <w:ind w:left="0" w:firstLine="0"/>
              <w:rPr>
                <w:rFonts w:ascii="宋体" w:hAnsi="宋体" w:eastAsia="宋体" w:cs="宋体"/>
                <w:color w:val="000000"/>
                <w:kern w:val="0"/>
                <w:szCs w:val="21"/>
              </w:rPr>
            </w:pPr>
            <w:r>
              <w:rPr>
                <w:rFonts w:hint="eastAsia" w:ascii="宋体" w:hAnsi="宋体" w:eastAsia="宋体" w:cs="宋体"/>
                <w:color w:val="000000"/>
                <w:kern w:val="0"/>
                <w:szCs w:val="21"/>
              </w:rPr>
              <w:t>支持导出数据统计</w:t>
            </w:r>
            <w:r>
              <w:rPr>
                <w:rFonts w:hint="eastAsia" w:ascii="宋体" w:hAnsi="宋体" w:eastAsia="宋体" w:cs="宋体"/>
                <w:color w:val="000000"/>
                <w:kern w:val="0"/>
                <w:szCs w:val="21"/>
                <w:lang w:val="en-US" w:eastAsia="zh-CN"/>
              </w:rPr>
              <w:t>进行</w:t>
            </w:r>
            <w:r>
              <w:rPr>
                <w:rFonts w:hint="eastAsia" w:ascii="宋体" w:hAnsi="宋体" w:eastAsia="宋体" w:cs="宋体"/>
                <w:color w:val="000000"/>
                <w:kern w:val="0"/>
                <w:szCs w:val="21"/>
              </w:rPr>
              <w:t>进一步分析。</w:t>
            </w:r>
          </w:p>
        </w:tc>
        <w:tc>
          <w:tcPr>
            <w:tcW w:w="660" w:type="dxa"/>
            <w:vAlign w:val="center"/>
          </w:tcPr>
          <w:p w14:paraId="229E7E27">
            <w:pPr>
              <w:pStyle w:val="8"/>
              <w:rPr>
                <w:rFonts w:hint="eastAsia"/>
                <w:kern w:val="0"/>
                <w:szCs w:val="21"/>
              </w:rPr>
            </w:pPr>
          </w:p>
        </w:tc>
      </w:tr>
      <w:tr w14:paraId="1AF4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8" w:type="dxa"/>
            <w:vMerge w:val="continue"/>
            <w:vAlign w:val="center"/>
          </w:tcPr>
          <w:p w14:paraId="7175A911">
            <w:pPr>
              <w:pStyle w:val="8"/>
              <w:rPr>
                <w:rFonts w:hint="eastAsia"/>
                <w:kern w:val="0"/>
                <w:szCs w:val="21"/>
              </w:rPr>
            </w:pPr>
          </w:p>
        </w:tc>
        <w:tc>
          <w:tcPr>
            <w:tcW w:w="1482" w:type="dxa"/>
            <w:vAlign w:val="center"/>
          </w:tcPr>
          <w:p w14:paraId="66BB9537">
            <w:pPr>
              <w:pStyle w:val="8"/>
              <w:rPr>
                <w:rFonts w:hint="eastAsia"/>
                <w:kern w:val="0"/>
                <w:szCs w:val="21"/>
              </w:rPr>
            </w:pPr>
            <w:r>
              <w:rPr>
                <w:kern w:val="0"/>
                <w:szCs w:val="21"/>
              </w:rPr>
              <w:t>2. </w:t>
            </w:r>
            <w:r>
              <w:rPr>
                <w:rFonts w:hint="eastAsia"/>
                <w:kern w:val="0"/>
                <w:szCs w:val="21"/>
              </w:rPr>
              <w:t>实现</w:t>
            </w:r>
            <w:r>
              <w:rPr>
                <w:kern w:val="0"/>
                <w:szCs w:val="21"/>
              </w:rPr>
              <w:t>课程数据</w:t>
            </w:r>
            <w:r>
              <w:rPr>
                <w:rFonts w:hint="eastAsia"/>
                <w:kern w:val="0"/>
                <w:szCs w:val="21"/>
              </w:rPr>
              <w:t>统计</w:t>
            </w:r>
          </w:p>
        </w:tc>
        <w:tc>
          <w:tcPr>
            <w:tcW w:w="4496" w:type="dxa"/>
            <w:shd w:val="clear" w:color="auto" w:fill="auto"/>
            <w:vAlign w:val="center"/>
          </w:tcPr>
          <w:tbl>
            <w:tblPr>
              <w:tblStyle w:val="9"/>
              <w:tblW w:w="0" w:type="auto"/>
              <w:tblInd w:w="0" w:type="dxa"/>
              <w:tblLayout w:type="autofit"/>
              <w:tblCellMar>
                <w:top w:w="15" w:type="dxa"/>
                <w:left w:w="15" w:type="dxa"/>
                <w:bottom w:w="15" w:type="dxa"/>
                <w:right w:w="15" w:type="dxa"/>
              </w:tblCellMar>
            </w:tblPr>
            <w:tblGrid>
              <w:gridCol w:w="4280"/>
            </w:tblGrid>
            <w:tr w14:paraId="3729CB97">
              <w:tblPrEx>
                <w:tblCellMar>
                  <w:top w:w="15" w:type="dxa"/>
                  <w:left w:w="15" w:type="dxa"/>
                  <w:bottom w:w="15" w:type="dxa"/>
                  <w:right w:w="15" w:type="dxa"/>
                </w:tblCellMar>
              </w:tblPrEx>
              <w:tc>
                <w:tcPr>
                  <w:tcW w:w="0" w:type="auto"/>
                  <w:vAlign w:val="center"/>
                </w:tcPr>
                <w:p w14:paraId="44A65799">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平台的课程统计功能支持图表展示及数据导出到excel。</w:t>
                  </w:r>
                </w:p>
                <w:p w14:paraId="6FF2D7AB">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支持课程人数统计：选课人数、退选人数、累计参加人数、退选总人数</w:t>
                  </w:r>
                  <w:r>
                    <w:rPr>
                      <w:rFonts w:hint="eastAsia" w:ascii="宋体" w:hAnsi="宋体" w:eastAsia="宋体" w:cs="宋体"/>
                      <w:color w:val="000000"/>
                      <w:szCs w:val="21"/>
                      <w:lang w:eastAsia="zh-CN"/>
                    </w:rPr>
                    <w:t>；</w:t>
                  </w:r>
                </w:p>
                <w:p w14:paraId="409D000C">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支持查看每日新增的学习人数及总数变化趋势</w:t>
                  </w:r>
                  <w:r>
                    <w:rPr>
                      <w:rFonts w:hint="eastAsia" w:ascii="宋体" w:hAnsi="宋体" w:eastAsia="宋体" w:cs="宋体"/>
                      <w:color w:val="000000"/>
                      <w:szCs w:val="21"/>
                      <w:lang w:eastAsia="zh-CN"/>
                    </w:rPr>
                    <w:t>；</w:t>
                  </w:r>
                </w:p>
                <w:p w14:paraId="7B31DE5A">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对于课程整体</w:t>
                  </w:r>
                  <w:r>
                    <w:rPr>
                      <w:rFonts w:hint="eastAsia" w:ascii="宋体" w:hAnsi="宋体" w:eastAsia="宋体" w:cs="宋体"/>
                      <w:color w:val="000000"/>
                      <w:szCs w:val="21"/>
                      <w:lang w:eastAsia="zh-CN"/>
                    </w:rPr>
                    <w:t>，</w:t>
                  </w:r>
                  <w:r>
                    <w:rPr>
                      <w:rFonts w:hint="eastAsia" w:ascii="宋体" w:hAnsi="宋体" w:eastAsia="宋体" w:cs="宋体"/>
                      <w:color w:val="000000"/>
                      <w:szCs w:val="21"/>
                    </w:rPr>
                    <w:t>支持查看整体视频观看人数，文档浏览人数，富文本浏览人数，随堂测验参与人数，随堂讨论参与人数，单元测验、单元作业和考试人数</w:t>
                  </w:r>
                  <w:r>
                    <w:rPr>
                      <w:rFonts w:hint="eastAsia" w:ascii="宋体" w:hAnsi="宋体" w:eastAsia="宋体" w:cs="宋体"/>
                      <w:color w:val="000000"/>
                      <w:szCs w:val="21"/>
                      <w:lang w:eastAsia="zh-CN"/>
                    </w:rPr>
                    <w:t>；</w:t>
                  </w:r>
                </w:p>
                <w:p w14:paraId="60221AD7">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在讨论区版块，支持统计讨论主题的新增趋势和总数变化趋势。支持查看回复/评论的新增和总数变化</w:t>
                  </w:r>
                  <w:r>
                    <w:rPr>
                      <w:rFonts w:hint="eastAsia" w:ascii="宋体" w:hAnsi="宋体" w:eastAsia="宋体" w:cs="宋体"/>
                      <w:color w:val="000000"/>
                      <w:szCs w:val="21"/>
                      <w:lang w:eastAsia="zh-CN"/>
                    </w:rPr>
                    <w:t>；</w:t>
                  </w:r>
                </w:p>
                <w:p w14:paraId="7A9F2AD5">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支持统计分析学生考试成绩分布情况</w:t>
                  </w:r>
                  <w:r>
                    <w:rPr>
                      <w:rFonts w:hint="eastAsia" w:ascii="宋体" w:hAnsi="宋体" w:eastAsia="宋体" w:cs="宋体"/>
                      <w:color w:val="000000"/>
                      <w:szCs w:val="21"/>
                      <w:lang w:eastAsia="zh-CN"/>
                    </w:rPr>
                    <w:t>；</w:t>
                  </w:r>
                </w:p>
                <w:p w14:paraId="45E40B35">
                  <w:pPr>
                    <w:numPr>
                      <w:ilvl w:val="0"/>
                      <w:numId w:val="3"/>
                    </w:numPr>
                    <w:ind w:left="0" w:firstLine="0"/>
                    <w:rPr>
                      <w:rFonts w:ascii="宋体" w:hAnsi="宋体" w:eastAsia="宋体" w:cs="宋体"/>
                      <w:color w:val="000000"/>
                      <w:szCs w:val="21"/>
                    </w:rPr>
                  </w:pPr>
                  <w:r>
                    <w:rPr>
                      <w:rFonts w:hint="eastAsia" w:ascii="宋体" w:hAnsi="宋体" w:eastAsia="宋体" w:cs="宋体"/>
                      <w:color w:val="000000"/>
                      <w:szCs w:val="21"/>
                    </w:rPr>
                    <w:t>支持统计每一个学生的学习数据，包括视频观看个数，视频观看次数，视频观看时长，讨论区主题数量，讨论区评论/回复的数量。</w:t>
                  </w:r>
                </w:p>
              </w:tc>
            </w:tr>
          </w:tbl>
          <w:p w14:paraId="4AE256A0">
            <w:pPr>
              <w:pStyle w:val="8"/>
              <w:rPr>
                <w:rFonts w:hint="eastAsia"/>
                <w:kern w:val="0"/>
                <w:szCs w:val="21"/>
              </w:rPr>
            </w:pPr>
          </w:p>
        </w:tc>
        <w:tc>
          <w:tcPr>
            <w:tcW w:w="660" w:type="dxa"/>
            <w:vAlign w:val="center"/>
          </w:tcPr>
          <w:p w14:paraId="17E929B5">
            <w:pPr>
              <w:pStyle w:val="8"/>
              <w:rPr>
                <w:rFonts w:hint="eastAsia"/>
                <w:kern w:val="0"/>
                <w:szCs w:val="21"/>
              </w:rPr>
            </w:pPr>
          </w:p>
        </w:tc>
      </w:tr>
    </w:tbl>
    <w:p w14:paraId="63D1CD55">
      <w:pPr>
        <w:pStyle w:val="3"/>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AFEB1"/>
    <w:multiLevelType w:val="singleLevel"/>
    <w:tmpl w:val="BAAAFEB1"/>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6CA731"/>
    <w:multiLevelType w:val="singleLevel"/>
    <w:tmpl w:val="326CA73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B2255"/>
    <w:rsid w:val="02B20C36"/>
    <w:rsid w:val="06FB73B1"/>
    <w:rsid w:val="087B2255"/>
    <w:rsid w:val="0946657C"/>
    <w:rsid w:val="0CF23EDB"/>
    <w:rsid w:val="28577A06"/>
    <w:rsid w:val="29581C87"/>
    <w:rsid w:val="2A4F168A"/>
    <w:rsid w:val="32D63C1D"/>
    <w:rsid w:val="3B373795"/>
    <w:rsid w:val="49931DBD"/>
    <w:rsid w:val="4A6A1823"/>
    <w:rsid w:val="4D3D2DBF"/>
    <w:rsid w:val="54234451"/>
    <w:rsid w:val="5DFC1069"/>
    <w:rsid w:val="67327176"/>
    <w:rsid w:val="679C6C08"/>
    <w:rsid w:val="74C4779E"/>
    <w:rsid w:val="7AE0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sz w:val="24"/>
    </w:r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next w:val="6"/>
    <w:qFormat/>
    <w:uiPriority w:val="0"/>
    <w:pPr>
      <w:jc w:val="left"/>
    </w:pPr>
  </w:style>
  <w:style w:type="paragraph" w:styleId="6">
    <w:name w:val="Body Text 3"/>
    <w:basedOn w:val="1"/>
    <w:next w:val="7"/>
    <w:qFormat/>
    <w:uiPriority w:val="0"/>
    <w:pPr>
      <w:spacing w:after="120"/>
      <w:ind w:firstLine="3584"/>
    </w:pPr>
  </w:style>
  <w:style w:type="paragraph" w:styleId="7">
    <w:name w:val="Balloon Text"/>
    <w:basedOn w:val="1"/>
    <w:next w:val="1"/>
    <w:semiHidden/>
    <w:unhideWhenUsed/>
    <w:qFormat/>
    <w:uiPriority w:val="99"/>
    <w:rPr>
      <w:sz w:val="18"/>
      <w:szCs w:val="18"/>
    </w:rPr>
  </w:style>
  <w:style w:type="paragraph" w:styleId="8">
    <w:name w:val="Body Text"/>
    <w:basedOn w:val="1"/>
    <w:qFormat/>
    <w:uiPriority w:val="99"/>
    <w:pPr>
      <w:spacing w:after="1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6942</Words>
  <Characters>7204</Characters>
  <Lines>0</Lines>
  <Paragraphs>0</Paragraphs>
  <TotalTime>0</TotalTime>
  <ScaleCrop>false</ScaleCrop>
  <LinksUpToDate>false</LinksUpToDate>
  <CharactersWithSpaces>7246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2025-03-14T02:40:00Z</dcterms:created>
  <dc:creator>yanggaomaomao</dc:creator>
  <cp:lastModifiedBy>yanggaomaomao</cp:lastModifiedBy>
  <dcterms:modified xsi:type="dcterms:W3CDTF">2025-03-17T03:30:23Z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9FB9A1CE2E004A06A382205A475926D8_13</vt:lpwstr>
  </property>
  <property fmtid="{D5CDD505-2E9C-101B-9397-08002B2CF9AE}" pid="4" name="KSOTemplateDocerSaveRecord">
    <vt:lpwstr>eyJoZGlkIjoiZDg1NTRmMzBiZDgzYjU0NDMzOWNlZjljMzE1ODEzZjAiLCJ1c2VySWQiOiI0MDEwNzUyNDkifQ==</vt:lpwstr>
  </property>
</Properties>
</file>