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DBABD">
      <w:pPr>
        <w:spacing w:before="156" w:beforeLines="50" w:after="156" w:afterLines="50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OLE_LINK1"/>
      <w:r>
        <w:rPr>
          <w:rFonts w:ascii="Times New Roman" w:hAnsi="Times New Roman" w:eastAsia="方正小标宋简体"/>
          <w:sz w:val="44"/>
          <w:szCs w:val="44"/>
        </w:rPr>
        <w:t>2027年拟设新专业筹建自查表</w:t>
      </w:r>
    </w:p>
    <w:bookmarkEnd w:id="0"/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2882"/>
        <w:gridCol w:w="2409"/>
        <w:gridCol w:w="3261"/>
      </w:tblGrid>
      <w:tr w14:paraId="330EA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61A1C4F1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序号</w:t>
            </w:r>
          </w:p>
        </w:tc>
        <w:tc>
          <w:tcPr>
            <w:tcW w:w="2882" w:type="dxa"/>
            <w:vAlign w:val="center"/>
          </w:tcPr>
          <w:p w14:paraId="160D3B0D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主要指标</w:t>
            </w:r>
          </w:p>
        </w:tc>
        <w:tc>
          <w:tcPr>
            <w:tcW w:w="2409" w:type="dxa"/>
            <w:vAlign w:val="center"/>
          </w:tcPr>
          <w:p w14:paraId="149F31F9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国家标准</w:t>
            </w:r>
          </w:p>
        </w:tc>
        <w:tc>
          <w:tcPr>
            <w:tcW w:w="3261" w:type="dxa"/>
            <w:vAlign w:val="center"/>
          </w:tcPr>
          <w:p w14:paraId="3A4CE58A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自查情况</w:t>
            </w:r>
          </w:p>
        </w:tc>
      </w:tr>
      <w:tr w14:paraId="7E90C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5559CB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" w:name="_GoBack" w:colFirst="0" w:colLast="3"/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82" w:type="dxa"/>
            <w:vAlign w:val="center"/>
          </w:tcPr>
          <w:p w14:paraId="70DF300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首次招生规模（人）</w:t>
            </w:r>
          </w:p>
        </w:tc>
        <w:tc>
          <w:tcPr>
            <w:tcW w:w="2409" w:type="dxa"/>
            <w:vAlign w:val="center"/>
          </w:tcPr>
          <w:p w14:paraId="3D42654B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</w:t>
            </w:r>
          </w:p>
        </w:tc>
        <w:tc>
          <w:tcPr>
            <w:tcW w:w="3261" w:type="dxa"/>
            <w:vAlign w:val="center"/>
          </w:tcPr>
          <w:p w14:paraId="3734C5B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70人（2个行政班，每班约35人）</w:t>
            </w:r>
          </w:p>
        </w:tc>
      </w:tr>
      <w:tr w14:paraId="0EAE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139AA7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82" w:type="dxa"/>
            <w:vAlign w:val="center"/>
          </w:tcPr>
          <w:p w14:paraId="2F1E4D9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专任教师数量（人）</w:t>
            </w:r>
          </w:p>
        </w:tc>
        <w:tc>
          <w:tcPr>
            <w:tcW w:w="2409" w:type="dxa"/>
            <w:vAlign w:val="center"/>
          </w:tcPr>
          <w:p w14:paraId="389476B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10人以上</w:t>
            </w:r>
          </w:p>
        </w:tc>
        <w:tc>
          <w:tcPr>
            <w:tcW w:w="3261" w:type="dxa"/>
            <w:vAlign w:val="center"/>
          </w:tcPr>
          <w:p>
            <w:r>
              <w:rPr>
                <w:rFonts w:ascii="Times New Roman" w:hAnsi="Times New Roman" w:eastAsia="宋体"/>
                <w:sz w:val="18"/>
              </w:rPr>
              <w:t>22人（满足现行国标数量要求；建设期将根据学校人才引进计划重点补强数据科学、计算机技术和大数据管理背景师资）</w:t>
            </w:r>
          </w:p>
        </w:tc>
      </w:tr>
      <w:tr w14:paraId="786A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60AE9B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82" w:type="dxa"/>
            <w:vAlign w:val="center"/>
          </w:tcPr>
          <w:p w14:paraId="257EB3A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专任教师中硕士、博士比例（%）</w:t>
            </w:r>
          </w:p>
        </w:tc>
        <w:tc>
          <w:tcPr>
            <w:tcW w:w="2409" w:type="dxa"/>
            <w:vAlign w:val="center"/>
          </w:tcPr>
          <w:p w14:paraId="08BE485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不低于80%</w:t>
            </w:r>
          </w:p>
        </w:tc>
        <w:tc>
          <w:tcPr>
            <w:tcW w:w="3261" w:type="dxa"/>
            <w:vAlign w:val="center"/>
          </w:tcPr>
          <w:p w14:paraId="06EACA9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100%（22/22）</w:t>
            </w:r>
          </w:p>
        </w:tc>
      </w:tr>
      <w:tr w14:paraId="48015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31C1E2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882" w:type="dxa"/>
            <w:vAlign w:val="center"/>
          </w:tcPr>
          <w:p w14:paraId="7619BA15">
            <w:pPr>
              <w:wordWrap w:val="0"/>
              <w:spacing w:line="40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专任教师中具有高级职称比例（%）</w:t>
            </w:r>
          </w:p>
        </w:tc>
        <w:tc>
          <w:tcPr>
            <w:tcW w:w="2409" w:type="dxa"/>
            <w:vAlign w:val="center"/>
          </w:tcPr>
          <w:p w14:paraId="5404A3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无（国标未规定高级职称比例；另规定中级及以上专业技术职务比例不低于90%）</w:t>
            </w:r>
          </w:p>
        </w:tc>
        <w:tc>
          <w:tcPr>
            <w:tcW w:w="3261" w:type="dxa"/>
            <w:vAlign w:val="center"/>
          </w:tcPr>
          <w:p w14:paraId="50F0FC0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54.55%（12/22，其中教授4人、副教授8人）；中级及以上专业技术职务教师22人，占100%</w:t>
            </w:r>
          </w:p>
        </w:tc>
      </w:tr>
      <w:tr w14:paraId="78C16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756C46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882" w:type="dxa"/>
            <w:vAlign w:val="center"/>
          </w:tcPr>
          <w:p w14:paraId="55D4ADC9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专业开办经费</w:t>
            </w:r>
          </w:p>
        </w:tc>
        <w:tc>
          <w:tcPr>
            <w:tcW w:w="2409" w:type="dxa"/>
            <w:vAlign w:val="center"/>
          </w:tcPr>
          <w:p w14:paraId="5B1BDAD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无（未规定具体金额；要求切实保障专业教学经费）</w:t>
            </w:r>
          </w:p>
        </w:tc>
        <w:tc>
          <w:tcPr>
            <w:tcW w:w="3261" w:type="dxa"/>
            <w:vAlign w:val="center"/>
          </w:tcPr>
          <w:p w14:paraId="56A7A71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拟安排50万元/年，三年建设期拟投入150万元（以学校批准的建设预算为准）</w:t>
            </w:r>
          </w:p>
        </w:tc>
      </w:tr>
      <w:tr w14:paraId="42545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2DC5CD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2882" w:type="dxa"/>
            <w:vAlign w:val="center"/>
          </w:tcPr>
          <w:p w14:paraId="185F1B97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专业教学科研仪器设备值</w:t>
            </w:r>
          </w:p>
        </w:tc>
        <w:tc>
          <w:tcPr>
            <w:tcW w:w="2409" w:type="dxa"/>
            <w:vAlign w:val="center"/>
          </w:tcPr>
          <w:p w14:paraId="13B22A7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无（未规定专业设备总值；要求设施设备满足专业教学需要）</w:t>
            </w:r>
          </w:p>
        </w:tc>
        <w:tc>
          <w:tcPr>
            <w:tcW w:w="3261" w:type="dxa"/>
            <w:vAlign w:val="center"/>
          </w:tcPr>
          <w:p w14:paraId="35135944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294.07万元（主要教学实验设备及软件资产25台/件/套）</w:t>
            </w:r>
          </w:p>
        </w:tc>
      </w:tr>
      <w:tr w14:paraId="12C5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38A317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2882" w:type="dxa"/>
            <w:vAlign w:val="center"/>
          </w:tcPr>
          <w:p w14:paraId="63CA462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生均专业教学科研仪器设备值</w:t>
            </w:r>
          </w:p>
        </w:tc>
        <w:tc>
          <w:tcPr>
            <w:tcW w:w="2409" w:type="dxa"/>
            <w:vAlign w:val="center"/>
          </w:tcPr>
          <w:p w14:paraId="61F1EAC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达到国家办学条件要求</w:t>
            </w:r>
          </w:p>
        </w:tc>
        <w:tc>
          <w:tcPr>
            <w:tcW w:w="3261" w:type="dxa"/>
            <w:vAlign w:val="center"/>
          </w:tcPr>
          <w:p w14:paraId="18C9DA39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4.20万元/生（按首次招生70人测算）</w:t>
            </w:r>
          </w:p>
        </w:tc>
      </w:tr>
      <w:tr w14:paraId="4033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3CE8FB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2882" w:type="dxa"/>
            <w:vAlign w:val="center"/>
          </w:tcPr>
          <w:p w14:paraId="510BEE58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总学分/实践教学学分</w:t>
            </w:r>
          </w:p>
        </w:tc>
        <w:tc>
          <w:tcPr>
            <w:tcW w:w="2409" w:type="dxa"/>
            <w:vAlign w:val="center"/>
          </w:tcPr>
          <w:p w14:paraId="51C37F4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总学分不少于150学分；实践及创新创业类教学课程累计学分不低于总学分的20%</w:t>
            </w:r>
          </w:p>
        </w:tc>
        <w:tc>
          <w:tcPr>
            <w:tcW w:w="3261" w:type="dxa"/>
            <w:vAlign w:val="center"/>
          </w:tcPr>
          <w:p w14:paraId="53F6DAC7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160学分/40.0实践教学学分（25.0%）</w:t>
            </w:r>
          </w:p>
        </w:tc>
      </w:tr>
      <w:tr w14:paraId="647CC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41" w:type="dxa"/>
            <w:vAlign w:val="center"/>
          </w:tcPr>
          <w:p w14:paraId="1F5F413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</w:t>
            </w:r>
          </w:p>
        </w:tc>
        <w:tc>
          <w:tcPr>
            <w:tcW w:w="2882" w:type="dxa"/>
            <w:vAlign w:val="center"/>
          </w:tcPr>
          <w:p w14:paraId="24560C1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开设的专业基础课</w:t>
            </w:r>
          </w:p>
        </w:tc>
        <w:tc>
          <w:tcPr>
            <w:tcW w:w="2409" w:type="dxa"/>
            <w:vAlign w:val="center"/>
          </w:tcPr>
          <w:p w14:paraId="141B774D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至少涵盖高等数学、线性代数、概率论、经济学、管理学、统计学、运筹学、管理信息系统及相关信息与工程技术知识领域</w:t>
            </w:r>
          </w:p>
        </w:tc>
        <w:tc>
          <w:tcPr>
            <w:tcW w:w="3261" w:type="dxa"/>
            <w:vAlign w:val="center"/>
          </w:tcPr>
          <w:p w14:paraId="7CBC726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高等数学（上、下）、线性代数、概率论与数理统计、管理学原理、微观经济学、宏观经济学、会计学、计算机与数据基础、应用统计学、运筹学、计量经济学；管理信息系统作为核心课开设。</w:t>
            </w:r>
          </w:p>
        </w:tc>
      </w:tr>
      <w:tr w14:paraId="48E74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  <w:cantSplit/>
        </w:trPr>
        <w:tc>
          <w:tcPr>
            <w:tcW w:w="941" w:type="dxa"/>
            <w:vAlign w:val="center"/>
          </w:tcPr>
          <w:p w14:paraId="234185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</w:t>
            </w:r>
          </w:p>
        </w:tc>
        <w:tc>
          <w:tcPr>
            <w:tcW w:w="2882" w:type="dxa"/>
            <w:vAlign w:val="center"/>
          </w:tcPr>
          <w:p w14:paraId="239BED4B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开设的专业课</w:t>
            </w:r>
          </w:p>
        </w:tc>
        <w:tc>
          <w:tcPr>
            <w:tcW w:w="2409" w:type="dxa"/>
            <w:vAlign w:val="center"/>
          </w:tcPr>
          <w:p w14:paraId="2FEB2E9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设置不少于6门专业主干课程</w:t>
            </w:r>
          </w:p>
        </w:tc>
        <w:tc>
          <w:tcPr>
            <w:tcW w:w="3261" w:type="dxa"/>
            <w:vAlign w:val="center"/>
          </w:tcPr>
          <w:p>
            <w:r>
              <w:rPr>
                <w:rFonts w:ascii="Times New Roman" w:hAnsi="Times New Roman" w:eastAsia="宋体"/>
                <w:sz w:val="17"/>
              </w:rPr>
              <w:t>核心课12门：大数据管理与应用概论、Python程序设计与数据分析、数据库原理与应用、数据结构与算法基础、管理信息系统、大数据技术基础、数据采集与预处理、商务数据挖掘与机器学习、数据仓库与商务智能、管理决策模型、数据可视化与商业表达、企业数据管理与治理；另设3门专业必修课和17门方向选修课。</w:t>
              <w:br/>
              <w:t>重点技术课程由现有主讲教师负责，并通过跨课程课程组、教师研修及后续跨学院共建机制加强团队建设。</w:t>
            </w:r>
          </w:p>
        </w:tc>
      </w:tr>
      <w:bookmarkEnd w:id="1"/>
    </w:tbl>
    <w:p w14:paraId="6B82180C">
      <w:pPr>
        <w:wordWrap w:val="0"/>
        <w:spacing w:line="400" w:lineRule="exact"/>
        <w:ind w:firstLine="480" w:firstLineChars="200"/>
        <w:rPr>
          <w:rFonts w:ascii="Times New Roman" w:hAnsi="Times New Roman" w:eastAsia="仿宋"/>
          <w:sz w:val="24"/>
          <w:szCs w:val="32"/>
        </w:rPr>
      </w:pPr>
      <w:r>
        <w:rPr>
          <w:rFonts w:ascii="Times New Roman" w:hAnsi="Times New Roman" w:eastAsia="仿宋"/>
          <w:sz w:val="24"/>
          <w:szCs w:val="32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p w14:paraId="78E177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D1B2F0D-967E-482E-BB37-6602F883A0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48FA798-B49F-4F04-8538-D3178DE8993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D7881D4-891D-4831-86A3-BCEF742539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8C3AA92-B9C3-4DD5-8EF7-9351A6BA3C2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12D"/>
    <w:rsid w:val="001547AB"/>
    <w:rsid w:val="001A38F3"/>
    <w:rsid w:val="0048762C"/>
    <w:rsid w:val="004F6A9D"/>
    <w:rsid w:val="00547B94"/>
    <w:rsid w:val="00641009"/>
    <w:rsid w:val="009800D0"/>
    <w:rsid w:val="009B0F00"/>
    <w:rsid w:val="009C412D"/>
    <w:rsid w:val="00D04065"/>
    <w:rsid w:val="00E37BBB"/>
    <w:rsid w:val="04C2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semiHidden/>
    <w:unhideWhenUsed/>
    <w:uiPriority w:val="99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semiHidden/>
    <w:uiPriority w:val="99"/>
    <w:rPr>
      <w:rFonts w:ascii="Calibri" w:hAnsi="Calibri" w:eastAsia="宋体" w:cs="Times New Roman"/>
      <w:szCs w:val="24"/>
    </w:rPr>
  </w:style>
  <w:style w:type="character" w:customStyle="1" w:styleId="8">
    <w:name w:val="页眉 字符"/>
    <w:basedOn w:val="6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'1.0' encoding='UTF-8' standalone='yes'?>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752</Words>
  <Characters>814</Characters>
  <Lines>6</Lines>
  <Paragraphs>1</Paragraphs>
  <TotalTime>6</TotalTime>
  <ScaleCrop>false</ScaleCrop>
  <LinksUpToDate>false</LinksUpToDate>
  <CharactersWithSpaces>814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2025-07-02T03:57:00Z</dcterms:created>
  <dc:creator>x</dc:creator>
  <cp:lastModifiedBy>==</cp:lastModifiedBy>
  <dcterms:modified xsi:type="dcterms:W3CDTF">2026-08-11T13:09:18Z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eyJoZGlkIjoiNmRlMmFhNTNiMTljYmQyZTU4NTc1ZjczNjM0ZmY5YmIiLCJ1c2VySWQiOiI0MzY5NDU4OTEifQ==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4C81E24F7193440885ADE9A6A9A65783_12</vt:lpwstr>
  </property>
</Properties>
</file>