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E2679">
      <w:pPr>
        <w:spacing w:line="360" w:lineRule="auto"/>
        <w:rPr>
          <w:rFonts w:ascii="方正小标宋简体" w:hAnsi="仿宋" w:eastAsia="方正小标宋简体"/>
          <w:b w:val="0"/>
          <w:bCs/>
          <w:sz w:val="24"/>
        </w:rPr>
      </w:pPr>
      <w:bookmarkStart w:id="0" w:name="_Toc8334"/>
      <w:bookmarkStart w:id="1" w:name="_Toc7446"/>
      <w:r>
        <w:rPr>
          <w:rFonts w:hint="eastAsia" w:ascii="方正小标宋简体" w:hAnsi="仿宋" w:eastAsia="方正小标宋简体"/>
          <w:b w:val="0"/>
          <w:bCs/>
          <w:sz w:val="24"/>
        </w:rPr>
        <w:t>附件：</w:t>
      </w:r>
    </w:p>
    <w:p w14:paraId="33BBCC4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方正小标宋简体" w:hAnsi="仿宋" w:eastAsia="方正小标宋简体"/>
          <w:b w:val="0"/>
          <w:bCs/>
          <w:sz w:val="32"/>
          <w:szCs w:val="32"/>
          <w:lang w:val="en-US" w:eastAsia="zh-CN"/>
        </w:rPr>
      </w:pPr>
      <w:r>
        <w:rPr>
          <w:rFonts w:hint="eastAsia" w:ascii="方正小标宋简体" w:hAnsi="仿宋" w:eastAsia="方正小标宋简体"/>
          <w:b w:val="0"/>
          <w:bCs/>
          <w:sz w:val="32"/>
          <w:szCs w:val="32"/>
          <w:lang w:val="en-US" w:eastAsia="zh-CN"/>
        </w:rPr>
        <w:t>2026年西华大学未来学习中心升级</w:t>
      </w:r>
    </w:p>
    <w:p w14:paraId="7DB8448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方正小标宋简体" w:hAnsi="仿宋" w:eastAsia="方正小标宋简体"/>
          <w:b w:val="0"/>
          <w:bCs/>
          <w:sz w:val="32"/>
          <w:szCs w:val="32"/>
          <w:lang w:val="en-US" w:eastAsia="zh-CN"/>
        </w:rPr>
      </w:pPr>
      <w:r>
        <w:rPr>
          <w:rFonts w:hint="eastAsia" w:ascii="方正小标宋简体" w:hAnsi="仿宋" w:eastAsia="方正小标宋简体"/>
          <w:b w:val="0"/>
          <w:bCs/>
          <w:sz w:val="32"/>
          <w:szCs w:val="32"/>
          <w:lang w:val="en-US" w:eastAsia="zh-CN"/>
        </w:rPr>
        <w:t>及课程图谱等资源建设采购需求</w:t>
      </w:r>
    </w:p>
    <w:p w14:paraId="2CFAC9CE">
      <w:pPr>
        <w:spacing w:line="288" w:lineRule="auto"/>
        <w:jc w:val="center"/>
        <w:outlineLvl w:val="0"/>
        <w:rPr>
          <w:rFonts w:hint="eastAsia" w:ascii="宋体" w:hAnsi="宋体" w:eastAsia="宋体" w:cs="宋体"/>
          <w:b/>
          <w:bCs/>
          <w:sz w:val="22"/>
          <w:szCs w:val="22"/>
          <w:lang w:eastAsia="zh-Hans"/>
        </w:rPr>
      </w:pPr>
      <w:r>
        <w:rPr>
          <w:rFonts w:hint="eastAsia" w:ascii="宋体" w:hAnsi="宋体" w:eastAsia="宋体" w:cs="宋体"/>
          <w:b/>
          <w:bCs/>
          <w:sz w:val="22"/>
          <w:szCs w:val="22"/>
          <w:lang w:val="en-US" w:eastAsia="zh-CN"/>
        </w:rPr>
        <w:t xml:space="preserve">第一部分 </w:t>
      </w:r>
      <w:r>
        <w:rPr>
          <w:rFonts w:hint="eastAsia" w:ascii="宋体" w:hAnsi="宋体" w:eastAsia="宋体" w:cs="宋体"/>
          <w:b/>
          <w:bCs/>
          <w:sz w:val="22"/>
          <w:szCs w:val="22"/>
          <w:lang w:eastAsia="zh-Hans"/>
        </w:rPr>
        <w:t>采购</w:t>
      </w:r>
      <w:r>
        <w:rPr>
          <w:rFonts w:hint="eastAsia" w:ascii="宋体" w:hAnsi="宋体" w:eastAsia="宋体" w:cs="宋体"/>
          <w:b/>
          <w:bCs/>
          <w:sz w:val="22"/>
          <w:szCs w:val="22"/>
        </w:rPr>
        <w:t>清单</w:t>
      </w:r>
      <w:bookmarkEnd w:id="0"/>
      <w:bookmarkEnd w:id="1"/>
    </w:p>
    <w:tbl>
      <w:tblPr>
        <w:tblStyle w:val="9"/>
        <w:tblW w:w="4934"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4458"/>
        <w:gridCol w:w="1188"/>
        <w:gridCol w:w="914"/>
        <w:gridCol w:w="1099"/>
      </w:tblGrid>
      <w:tr w14:paraId="0F415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7" w:type="pct"/>
            <w:vAlign w:val="center"/>
          </w:tcPr>
          <w:p w14:paraId="09364419">
            <w:pPr>
              <w:spacing w:line="288" w:lineRule="auto"/>
              <w:jc w:val="center"/>
              <w:rPr>
                <w:rFonts w:hint="eastAsia" w:ascii="宋体" w:hAnsi="宋体" w:eastAsia="宋体" w:cs="宋体"/>
                <w:b/>
                <w:bCs/>
                <w:sz w:val="22"/>
                <w:szCs w:val="22"/>
                <w:lang w:eastAsia="zh-Hans"/>
              </w:rPr>
            </w:pPr>
            <w:r>
              <w:rPr>
                <w:rFonts w:hint="eastAsia" w:ascii="宋体" w:hAnsi="宋体" w:eastAsia="宋体" w:cs="宋体"/>
                <w:b/>
                <w:bCs/>
                <w:sz w:val="22"/>
                <w:szCs w:val="22"/>
                <w:lang w:eastAsia="zh-Hans"/>
              </w:rPr>
              <w:t>序号</w:t>
            </w:r>
          </w:p>
        </w:tc>
        <w:tc>
          <w:tcPr>
            <w:tcW w:w="2650" w:type="pct"/>
            <w:vAlign w:val="center"/>
          </w:tcPr>
          <w:p w14:paraId="00C9B4B6">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拟采购清单</w:t>
            </w:r>
          </w:p>
        </w:tc>
        <w:tc>
          <w:tcPr>
            <w:tcW w:w="706" w:type="pct"/>
            <w:vAlign w:val="center"/>
          </w:tcPr>
          <w:p w14:paraId="154CFAF3">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lang w:val="en-US" w:eastAsia="zh-CN" w:bidi="ar"/>
              </w:rPr>
              <w:t>预估</w:t>
            </w:r>
            <w:r>
              <w:rPr>
                <w:rFonts w:hint="eastAsia" w:ascii="宋体" w:hAnsi="宋体" w:eastAsia="宋体" w:cs="宋体"/>
                <w:b/>
                <w:bCs/>
                <w:sz w:val="22"/>
                <w:szCs w:val="22"/>
                <w:lang w:bidi="ar"/>
              </w:rPr>
              <w:t>数量</w:t>
            </w:r>
          </w:p>
        </w:tc>
        <w:tc>
          <w:tcPr>
            <w:tcW w:w="542" w:type="pct"/>
            <w:vAlign w:val="center"/>
          </w:tcPr>
          <w:p w14:paraId="5BA03B97">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lang w:bidi="ar"/>
              </w:rPr>
              <w:t>单位</w:t>
            </w:r>
          </w:p>
        </w:tc>
        <w:tc>
          <w:tcPr>
            <w:tcW w:w="653" w:type="pct"/>
            <w:vAlign w:val="center"/>
          </w:tcPr>
          <w:p w14:paraId="1D527318">
            <w:pPr>
              <w:spacing w:line="288" w:lineRule="auto"/>
              <w:jc w:val="center"/>
              <w:rPr>
                <w:rFonts w:hint="eastAsia" w:ascii="宋体" w:hAnsi="宋体" w:eastAsia="宋体" w:cs="宋体"/>
                <w:b/>
                <w:bCs/>
                <w:sz w:val="22"/>
                <w:szCs w:val="22"/>
              </w:rPr>
            </w:pPr>
            <w:r>
              <w:rPr>
                <w:rFonts w:hint="eastAsia" w:ascii="宋体" w:hAnsi="宋体" w:eastAsia="宋体" w:cs="宋体"/>
                <w:b/>
                <w:bCs/>
                <w:sz w:val="22"/>
                <w:szCs w:val="22"/>
              </w:rPr>
              <w:t>总价（元）</w:t>
            </w:r>
          </w:p>
        </w:tc>
      </w:tr>
      <w:tr w14:paraId="32C0E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7" w:type="pct"/>
            <w:vAlign w:val="center"/>
          </w:tcPr>
          <w:p w14:paraId="2DD75539">
            <w:pPr>
              <w:spacing w:line="288"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2650" w:type="pct"/>
            <w:vAlign w:val="center"/>
          </w:tcPr>
          <w:p w14:paraId="60477DA6">
            <w:pPr>
              <w:spacing w:line="288" w:lineRule="auto"/>
              <w:jc w:val="center"/>
              <w:rPr>
                <w:rFonts w:hint="eastAsia" w:ascii="宋体" w:hAnsi="宋体" w:eastAsia="宋体" w:cs="宋体"/>
                <w:sz w:val="22"/>
                <w:szCs w:val="22"/>
              </w:rPr>
            </w:pPr>
            <w:r>
              <w:rPr>
                <w:rFonts w:hint="eastAsia" w:ascii="宋体" w:hAnsi="宋体" w:eastAsia="宋体" w:cs="宋体"/>
                <w:sz w:val="22"/>
                <w:szCs w:val="22"/>
                <w:lang w:eastAsia="zh-Hans"/>
              </w:rPr>
              <w:t>西华大学未来学习中心升级建设</w:t>
            </w:r>
            <w:r>
              <w:rPr>
                <w:rFonts w:hint="eastAsia" w:ascii="宋体" w:hAnsi="宋体" w:eastAsia="宋体" w:cs="宋体"/>
                <w:sz w:val="22"/>
                <w:szCs w:val="22"/>
              </w:rPr>
              <w:t>服务</w:t>
            </w:r>
          </w:p>
        </w:tc>
        <w:tc>
          <w:tcPr>
            <w:tcW w:w="706" w:type="pct"/>
            <w:vAlign w:val="center"/>
          </w:tcPr>
          <w:p w14:paraId="3844DD02">
            <w:pPr>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1</w:t>
            </w:r>
          </w:p>
        </w:tc>
        <w:tc>
          <w:tcPr>
            <w:tcW w:w="542" w:type="pct"/>
            <w:vAlign w:val="center"/>
          </w:tcPr>
          <w:p w14:paraId="428A5CDA">
            <w:pPr>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套</w:t>
            </w:r>
          </w:p>
        </w:tc>
        <w:tc>
          <w:tcPr>
            <w:tcW w:w="653" w:type="pct"/>
            <w:vAlign w:val="center"/>
          </w:tcPr>
          <w:p w14:paraId="4E2F43E5">
            <w:pPr>
              <w:spacing w:line="288" w:lineRule="auto"/>
              <w:jc w:val="center"/>
              <w:rPr>
                <w:rFonts w:hint="eastAsia" w:ascii="宋体" w:hAnsi="宋体" w:eastAsia="宋体" w:cs="宋体"/>
                <w:sz w:val="22"/>
                <w:szCs w:val="22"/>
              </w:rPr>
            </w:pPr>
            <w:r>
              <w:rPr>
                <w:rFonts w:hint="eastAsia" w:ascii="宋体" w:hAnsi="宋体" w:eastAsia="宋体" w:cs="宋体"/>
                <w:sz w:val="22"/>
                <w:szCs w:val="22"/>
              </w:rPr>
              <w:t>1150000</w:t>
            </w:r>
          </w:p>
        </w:tc>
      </w:tr>
      <w:tr w14:paraId="77B69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7" w:type="pct"/>
            <w:vAlign w:val="center"/>
          </w:tcPr>
          <w:p w14:paraId="6A5FBA9E">
            <w:pPr>
              <w:spacing w:line="288" w:lineRule="auto"/>
              <w:jc w:val="center"/>
              <w:rPr>
                <w:rFonts w:hint="eastAsia" w:ascii="宋体" w:hAnsi="宋体" w:eastAsia="宋体" w:cs="宋体"/>
                <w:sz w:val="22"/>
                <w:szCs w:val="22"/>
                <w:lang w:eastAsia="zh-Hans"/>
              </w:rPr>
            </w:pPr>
            <w:r>
              <w:rPr>
                <w:rFonts w:hint="eastAsia" w:ascii="宋体" w:hAnsi="宋体" w:eastAsia="宋体" w:cs="宋体"/>
                <w:sz w:val="22"/>
                <w:szCs w:val="22"/>
                <w:lang w:eastAsia="zh-Hans"/>
              </w:rPr>
              <w:t>2</w:t>
            </w:r>
          </w:p>
        </w:tc>
        <w:tc>
          <w:tcPr>
            <w:tcW w:w="2650" w:type="pct"/>
            <w:vAlign w:val="center"/>
          </w:tcPr>
          <w:p w14:paraId="17208DB2">
            <w:pPr>
              <w:spacing w:line="288" w:lineRule="auto"/>
              <w:jc w:val="center"/>
              <w:rPr>
                <w:rFonts w:hint="eastAsia" w:ascii="宋体" w:hAnsi="宋体" w:eastAsia="宋体" w:cs="宋体"/>
                <w:sz w:val="22"/>
                <w:szCs w:val="22"/>
              </w:rPr>
            </w:pPr>
            <w:r>
              <w:rPr>
                <w:rFonts w:hint="eastAsia" w:ascii="宋体" w:hAnsi="宋体" w:eastAsia="宋体" w:cs="宋体"/>
                <w:sz w:val="22"/>
                <w:szCs w:val="22"/>
                <w:lang w:eastAsia="zh-Hans"/>
              </w:rPr>
              <w:t>专业图谱体系搭建及智慧慕课资源建设</w:t>
            </w:r>
            <w:r>
              <w:rPr>
                <w:rFonts w:hint="eastAsia" w:ascii="宋体" w:hAnsi="宋体" w:eastAsia="宋体" w:cs="宋体"/>
                <w:sz w:val="22"/>
                <w:szCs w:val="22"/>
              </w:rPr>
              <w:t>服务</w:t>
            </w:r>
          </w:p>
        </w:tc>
        <w:tc>
          <w:tcPr>
            <w:tcW w:w="706" w:type="pct"/>
            <w:vAlign w:val="center"/>
          </w:tcPr>
          <w:p w14:paraId="35A53F5E">
            <w:pPr>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2</w:t>
            </w:r>
          </w:p>
        </w:tc>
        <w:tc>
          <w:tcPr>
            <w:tcW w:w="542" w:type="pct"/>
            <w:vAlign w:val="center"/>
          </w:tcPr>
          <w:p w14:paraId="357D03DD">
            <w:pPr>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套</w:t>
            </w:r>
          </w:p>
        </w:tc>
        <w:tc>
          <w:tcPr>
            <w:tcW w:w="653" w:type="pct"/>
            <w:vAlign w:val="center"/>
          </w:tcPr>
          <w:p w14:paraId="2710EB6A">
            <w:pPr>
              <w:spacing w:line="288" w:lineRule="auto"/>
              <w:jc w:val="center"/>
              <w:rPr>
                <w:rFonts w:hint="eastAsia" w:ascii="宋体" w:hAnsi="宋体" w:eastAsia="宋体" w:cs="宋体"/>
                <w:sz w:val="22"/>
                <w:szCs w:val="22"/>
              </w:rPr>
            </w:pPr>
            <w:r>
              <w:rPr>
                <w:rFonts w:hint="eastAsia" w:ascii="宋体" w:hAnsi="宋体" w:eastAsia="宋体" w:cs="宋体"/>
                <w:sz w:val="22"/>
                <w:szCs w:val="22"/>
              </w:rPr>
              <w:t>960000</w:t>
            </w:r>
          </w:p>
        </w:tc>
      </w:tr>
      <w:tr w14:paraId="1835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7" w:type="pct"/>
            <w:vAlign w:val="center"/>
          </w:tcPr>
          <w:p w14:paraId="0BCA9FE1">
            <w:pPr>
              <w:spacing w:line="288"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2650" w:type="pct"/>
            <w:vAlign w:val="center"/>
          </w:tcPr>
          <w:p w14:paraId="0F515FE5">
            <w:pPr>
              <w:spacing w:line="288" w:lineRule="auto"/>
              <w:jc w:val="center"/>
              <w:rPr>
                <w:rFonts w:hint="eastAsia" w:ascii="宋体" w:hAnsi="宋体" w:eastAsia="宋体" w:cs="宋体"/>
                <w:sz w:val="22"/>
                <w:szCs w:val="22"/>
              </w:rPr>
            </w:pPr>
            <w:r>
              <w:rPr>
                <w:rFonts w:hint="eastAsia" w:ascii="宋体" w:hAnsi="宋体" w:eastAsia="宋体" w:cs="宋体"/>
                <w:sz w:val="22"/>
                <w:szCs w:val="22"/>
                <w:lang w:eastAsia="zh-Hans"/>
              </w:rPr>
              <w:t>一流专业</w:t>
            </w:r>
            <w:r>
              <w:rPr>
                <w:rFonts w:hint="eastAsia" w:ascii="宋体" w:hAnsi="宋体" w:eastAsia="宋体" w:cs="宋体"/>
                <w:sz w:val="22"/>
                <w:szCs w:val="22"/>
              </w:rPr>
              <w:t>课程图谱</w:t>
            </w:r>
            <w:r>
              <w:rPr>
                <w:rFonts w:hint="eastAsia" w:ascii="宋体" w:hAnsi="宋体" w:eastAsia="宋体" w:cs="宋体"/>
                <w:sz w:val="22"/>
                <w:szCs w:val="22"/>
                <w:lang w:eastAsia="zh-Hans"/>
              </w:rPr>
              <w:t>资源建设</w:t>
            </w:r>
            <w:r>
              <w:rPr>
                <w:rFonts w:hint="eastAsia" w:ascii="宋体" w:hAnsi="宋体" w:eastAsia="宋体" w:cs="宋体"/>
                <w:sz w:val="22"/>
                <w:szCs w:val="22"/>
              </w:rPr>
              <w:t>服务</w:t>
            </w:r>
          </w:p>
        </w:tc>
        <w:tc>
          <w:tcPr>
            <w:tcW w:w="706" w:type="pct"/>
            <w:vAlign w:val="center"/>
          </w:tcPr>
          <w:p w14:paraId="5244BDD8">
            <w:pPr>
              <w:tabs>
                <w:tab w:val="left" w:pos="339"/>
              </w:tabs>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6</w:t>
            </w:r>
          </w:p>
        </w:tc>
        <w:tc>
          <w:tcPr>
            <w:tcW w:w="542" w:type="pct"/>
            <w:vAlign w:val="center"/>
          </w:tcPr>
          <w:p w14:paraId="41EA5D4A">
            <w:pPr>
              <w:tabs>
                <w:tab w:val="left" w:pos="339"/>
              </w:tabs>
              <w:spacing w:line="288" w:lineRule="auto"/>
              <w:jc w:val="center"/>
              <w:rPr>
                <w:rFonts w:hint="eastAsia" w:ascii="宋体" w:hAnsi="宋体" w:eastAsia="宋体" w:cs="宋体"/>
                <w:sz w:val="22"/>
                <w:szCs w:val="22"/>
              </w:rPr>
            </w:pPr>
            <w:r>
              <w:rPr>
                <w:rFonts w:hint="eastAsia" w:ascii="宋体" w:hAnsi="宋体" w:eastAsia="宋体" w:cs="宋体"/>
                <w:sz w:val="22"/>
                <w:szCs w:val="22"/>
                <w:lang w:bidi="ar"/>
              </w:rPr>
              <w:t>门</w:t>
            </w:r>
          </w:p>
        </w:tc>
        <w:tc>
          <w:tcPr>
            <w:tcW w:w="653" w:type="pct"/>
            <w:vAlign w:val="center"/>
          </w:tcPr>
          <w:p w14:paraId="088BF1A3">
            <w:pPr>
              <w:spacing w:line="288" w:lineRule="auto"/>
              <w:jc w:val="center"/>
              <w:rPr>
                <w:rFonts w:hint="eastAsia" w:ascii="宋体" w:hAnsi="宋体" w:eastAsia="宋体" w:cs="宋体"/>
                <w:sz w:val="22"/>
                <w:szCs w:val="22"/>
              </w:rPr>
            </w:pPr>
            <w:r>
              <w:rPr>
                <w:rFonts w:hint="eastAsia" w:ascii="宋体" w:hAnsi="宋体" w:eastAsia="宋体" w:cs="宋体"/>
                <w:sz w:val="22"/>
                <w:szCs w:val="22"/>
              </w:rPr>
              <w:t>300000</w:t>
            </w:r>
          </w:p>
        </w:tc>
      </w:tr>
      <w:tr w14:paraId="1A75D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346" w:type="pct"/>
            <w:gridSpan w:val="4"/>
            <w:vAlign w:val="center"/>
          </w:tcPr>
          <w:p w14:paraId="41C825CF">
            <w:pPr>
              <w:tabs>
                <w:tab w:val="left" w:pos="339"/>
              </w:tabs>
              <w:spacing w:line="288" w:lineRule="auto"/>
              <w:jc w:val="center"/>
              <w:rPr>
                <w:rFonts w:hint="eastAsia" w:ascii="宋体" w:hAnsi="宋体" w:eastAsia="宋体" w:cs="宋体"/>
                <w:sz w:val="22"/>
                <w:szCs w:val="22"/>
              </w:rPr>
            </w:pPr>
            <w:r>
              <w:rPr>
                <w:rFonts w:hint="eastAsia" w:ascii="宋体" w:hAnsi="宋体" w:eastAsia="宋体" w:cs="宋体"/>
                <w:sz w:val="22"/>
                <w:szCs w:val="22"/>
              </w:rPr>
              <w:t>总价</w:t>
            </w:r>
          </w:p>
        </w:tc>
        <w:tc>
          <w:tcPr>
            <w:tcW w:w="653" w:type="pct"/>
            <w:vAlign w:val="center"/>
          </w:tcPr>
          <w:p w14:paraId="15A9D192">
            <w:pPr>
              <w:spacing w:line="288" w:lineRule="auto"/>
              <w:jc w:val="center"/>
              <w:rPr>
                <w:rFonts w:hint="eastAsia" w:ascii="宋体" w:hAnsi="宋体" w:eastAsia="宋体" w:cs="宋体"/>
                <w:sz w:val="22"/>
                <w:szCs w:val="22"/>
              </w:rPr>
            </w:pPr>
            <w:r>
              <w:rPr>
                <w:rFonts w:hint="eastAsia" w:ascii="宋体" w:hAnsi="宋体" w:eastAsia="宋体" w:cs="宋体"/>
                <w:sz w:val="22"/>
                <w:szCs w:val="22"/>
              </w:rPr>
              <w:t>2410000</w:t>
            </w:r>
          </w:p>
        </w:tc>
      </w:tr>
    </w:tbl>
    <w:p w14:paraId="76998C45">
      <w:pPr>
        <w:numPr>
          <w:ilvl w:val="0"/>
          <w:numId w:val="0"/>
        </w:numPr>
        <w:spacing w:line="288" w:lineRule="auto"/>
        <w:jc w:val="center"/>
        <w:outlineLvl w:val="0"/>
        <w:rPr>
          <w:rFonts w:hint="eastAsia" w:ascii="宋体" w:hAnsi="宋体" w:eastAsia="宋体" w:cs="宋体"/>
          <w:b/>
          <w:bCs/>
          <w:sz w:val="22"/>
          <w:szCs w:val="22"/>
        </w:rPr>
      </w:pPr>
      <w:r>
        <w:rPr>
          <w:rFonts w:hint="eastAsia" w:ascii="宋体" w:hAnsi="宋体" w:eastAsia="宋体" w:cs="宋体"/>
          <w:b/>
          <w:bCs/>
          <w:sz w:val="22"/>
          <w:szCs w:val="22"/>
          <w:lang w:val="en-US" w:eastAsia="zh-CN"/>
        </w:rPr>
        <w:t xml:space="preserve">第二部分 </w:t>
      </w:r>
      <w:r>
        <w:rPr>
          <w:rFonts w:hint="eastAsia" w:ascii="宋体" w:hAnsi="宋体" w:eastAsia="宋体" w:cs="宋体"/>
          <w:b/>
          <w:bCs/>
          <w:sz w:val="22"/>
          <w:szCs w:val="22"/>
        </w:rPr>
        <w:t>投标供应商的资格要求</w:t>
      </w:r>
    </w:p>
    <w:tbl>
      <w:tblPr>
        <w:tblStyle w:val="9"/>
        <w:tblW w:w="5065"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0"/>
        <w:gridCol w:w="2193"/>
        <w:gridCol w:w="5517"/>
      </w:tblGrid>
      <w:tr w14:paraId="034BD4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2CE6FA81">
            <w:pPr>
              <w:spacing w:line="288" w:lineRule="auto"/>
              <w:jc w:val="center"/>
              <w:rPr>
                <w:rFonts w:hint="eastAsia" w:ascii="宋体" w:hAnsi="宋体" w:eastAsia="宋体" w:cs="宋体"/>
                <w:b/>
                <w:bCs/>
                <w:sz w:val="22"/>
                <w:szCs w:val="22"/>
                <w:lang w:eastAsia="zh-Hans"/>
              </w:rPr>
            </w:pPr>
            <w:r>
              <w:rPr>
                <w:rFonts w:hint="eastAsia" w:ascii="宋体" w:hAnsi="宋体" w:eastAsia="宋体" w:cs="宋体"/>
                <w:b/>
                <w:bCs/>
                <w:sz w:val="22"/>
                <w:szCs w:val="22"/>
                <w:lang w:eastAsia="zh-Hans"/>
              </w:rPr>
              <w:t>序号</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3424FC82">
            <w:pPr>
              <w:spacing w:line="288" w:lineRule="auto"/>
              <w:jc w:val="center"/>
              <w:rPr>
                <w:rFonts w:hint="eastAsia" w:ascii="宋体" w:hAnsi="宋体" w:eastAsia="宋体" w:cs="宋体"/>
                <w:b/>
                <w:bCs/>
                <w:sz w:val="22"/>
                <w:szCs w:val="22"/>
                <w:lang w:eastAsia="zh-Hans"/>
              </w:rPr>
            </w:pPr>
            <w:r>
              <w:rPr>
                <w:rFonts w:hint="eastAsia" w:ascii="宋体" w:hAnsi="宋体" w:eastAsia="宋体" w:cs="宋体"/>
                <w:b/>
                <w:bCs/>
                <w:sz w:val="22"/>
                <w:szCs w:val="22"/>
                <w:lang w:eastAsia="zh-Hans"/>
              </w:rPr>
              <w:t>资格要求名称</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09F7D24F">
            <w:pPr>
              <w:spacing w:line="288" w:lineRule="auto"/>
              <w:jc w:val="center"/>
              <w:rPr>
                <w:rFonts w:hint="eastAsia" w:ascii="宋体" w:hAnsi="宋体" w:eastAsia="宋体" w:cs="宋体"/>
                <w:b/>
                <w:bCs/>
                <w:sz w:val="22"/>
                <w:szCs w:val="22"/>
                <w:lang w:eastAsia="zh-Hans"/>
              </w:rPr>
            </w:pPr>
            <w:r>
              <w:rPr>
                <w:rFonts w:hint="eastAsia" w:ascii="宋体" w:hAnsi="宋体" w:eastAsia="宋体" w:cs="宋体"/>
                <w:b/>
                <w:bCs/>
                <w:sz w:val="22"/>
                <w:szCs w:val="22"/>
                <w:lang w:eastAsia="zh-Hans"/>
              </w:rPr>
              <w:t>资格要求详细说明</w:t>
            </w:r>
          </w:p>
        </w:tc>
      </w:tr>
      <w:tr w14:paraId="0D36D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5"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0F1D53C4">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732330F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投标人应具有独立承担民事责任的能力</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281B3FE4">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营业执照（正本或副本）或法人登记证（正本或副本）或其他能够证明投标人具有独立承担民事责任能力的相关证明材料复印件</w:t>
            </w:r>
          </w:p>
          <w:p w14:paraId="386EC98C">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【注：①营业执照或法人登记证或其他证明材料载明有期限的，应在有效期限内；②在中华人民共和国境内注册。】</w:t>
            </w:r>
          </w:p>
        </w:tc>
      </w:tr>
      <w:tr w14:paraId="03EDD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99"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0AF46918">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5D70686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3C630BF8">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1.投标人具有良好的商业信誉的书面声明材料。 </w:t>
            </w:r>
          </w:p>
          <w:p w14:paraId="3ECEF1E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2.投标人参加政府采购活动前三年内，在经营活动中没有重大违法记录的书面声明材料；</w:t>
            </w:r>
          </w:p>
          <w:p w14:paraId="2423D9DB">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3.投标人具有健全的财务会计制度的书面声明材料； </w:t>
            </w:r>
          </w:p>
          <w:p w14:paraId="0E696859">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4.投标人具有依法缴纳社会保障资金良好记录的书面声明材料；</w:t>
            </w:r>
          </w:p>
          <w:p w14:paraId="7CD4E43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5.投标人具有依法缴纳税收良好记录的书面声明材料。 </w:t>
            </w:r>
          </w:p>
          <w:p w14:paraId="0E44E40F">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6C281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57311E86">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126CD678">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未被列入失信被执行人、重大税收违法案件当事人名单、政府采购严重违法失信行为记录名单</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746C809F">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14:paraId="018F5B76">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2.资格审查小组根据“信用中国”和“中国政府采购网”网站的查询结果，在资格审查期间对投标人是否被列入失信被执行人、重大税收违法案件当事人名单、政府采购严重违法失信行为记录名单进行审查。</w:t>
            </w:r>
          </w:p>
          <w:p w14:paraId="73B46F8B">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【说明：投标人未列入失信被执行人、重大税收违法案件当事人名单、政府采购严重违法失信行为记录名单。】</w:t>
            </w:r>
          </w:p>
        </w:tc>
      </w:tr>
      <w:tr w14:paraId="010DE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18"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583DA121">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4F5B599C">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未处于被行政部门禁止参与政府采购活动的期限内</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7E89A1B7">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投标人未处于被行政部门禁止参与政府采购活动的期限内。 【说明：①投标人按招标文件要求提供书面声明材料；②投标人未处于被行政部门禁止参与政府采购活动的期限内。】</w:t>
            </w:r>
          </w:p>
        </w:tc>
      </w:tr>
      <w:tr w14:paraId="3978A7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19"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0D5D753D">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5567624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行贿犯罪记录</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7A3311B4">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在行贿犯罪信息查询期限内，投标人及其现任法定代表人、主要负责人没有行贿犯罪记录的书面声明材料。 </w:t>
            </w:r>
          </w:p>
          <w:p w14:paraId="143B13F0">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3B8AEC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33"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64B4D32F">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08168DD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单位负责人为同一人或者存在直接控股、管理关系的不同供应商，不得参加同一项目的投标</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644D1E51">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负责人为同一人或者存在直接控股、管理关系的不同投标人未同时参加本项目书面声明材料。 </w:t>
            </w:r>
          </w:p>
          <w:p w14:paraId="7D90EAC1">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0B513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5B9D8E7B">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466FDFF2">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投标文件签章</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4CEF29E5">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投标文件加盖有投标人（法定名称）电子签章。</w:t>
            </w:r>
          </w:p>
          <w:p w14:paraId="0E270E03">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【说明：无须提供证明材料，上传空白页即可，不对本项上传的材料作资格审查】</w:t>
            </w:r>
          </w:p>
        </w:tc>
      </w:tr>
      <w:tr w14:paraId="03A1D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2"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45E0E01B">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5F025648">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投标文件资格响应文件的语言</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77B4E643">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语言符合招标文件的要求。 </w:t>
            </w:r>
          </w:p>
          <w:p w14:paraId="71F29DEF">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【说明：投标人无须提供证明材料，上传空白页即可，不对本项上传的材料作资格审查】</w:t>
            </w:r>
          </w:p>
        </w:tc>
      </w:tr>
      <w:tr w14:paraId="3615D7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6"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72729915">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3167A6A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法律、行政法规规定的其他条件</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707211FD">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采购人对法律、行政法规规定的其他条件无其他特殊要求，投标人可不提供证明材料。 </w:t>
            </w:r>
          </w:p>
          <w:p w14:paraId="6328FA43">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【说明：投标人无须提供证明材料，上传空白页即可，不对本项上传的材料作资格审查】</w:t>
            </w:r>
          </w:p>
        </w:tc>
      </w:tr>
      <w:tr w14:paraId="74D3C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7" w:hRule="atLeast"/>
        </w:trPr>
        <w:tc>
          <w:tcPr>
            <w:tcW w:w="427" w:type="pct"/>
            <w:tcBorders>
              <w:top w:val="outset" w:color="auto" w:sz="6" w:space="0"/>
              <w:left w:val="outset" w:color="auto" w:sz="6" w:space="0"/>
              <w:bottom w:val="outset" w:color="auto" w:sz="6" w:space="0"/>
              <w:right w:val="outset" w:color="auto" w:sz="6" w:space="0"/>
            </w:tcBorders>
            <w:shd w:val="clear" w:color="auto" w:fill="FFFFFF"/>
            <w:vAlign w:val="center"/>
          </w:tcPr>
          <w:p w14:paraId="7EEB9B7A">
            <w:pPr>
              <w:spacing w:line="28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1300" w:type="pct"/>
            <w:tcBorders>
              <w:top w:val="outset" w:color="auto" w:sz="6" w:space="0"/>
              <w:left w:val="outset" w:color="auto" w:sz="6" w:space="0"/>
              <w:bottom w:val="outset" w:color="auto" w:sz="6" w:space="0"/>
              <w:right w:val="outset" w:color="auto" w:sz="6" w:space="0"/>
            </w:tcBorders>
            <w:shd w:val="clear" w:color="auto" w:fill="FFFFFF"/>
            <w:vAlign w:val="center"/>
          </w:tcPr>
          <w:p w14:paraId="2FB88CE2">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不属于国家相关法律法规规定的其他禁止参加投标的情形</w:t>
            </w:r>
          </w:p>
        </w:tc>
        <w:tc>
          <w:tcPr>
            <w:tcW w:w="3271" w:type="pct"/>
            <w:tcBorders>
              <w:top w:val="outset" w:color="auto" w:sz="6" w:space="0"/>
              <w:left w:val="outset" w:color="auto" w:sz="6" w:space="0"/>
              <w:bottom w:val="outset" w:color="auto" w:sz="6" w:space="0"/>
              <w:right w:val="outset" w:color="auto" w:sz="6" w:space="0"/>
            </w:tcBorders>
            <w:shd w:val="clear" w:color="auto" w:fill="FFFFFF"/>
            <w:vAlign w:val="center"/>
          </w:tcPr>
          <w:p w14:paraId="560193CA">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1.根据招标文件的要求不属于禁止参加投标或投标无效的供应商；</w:t>
            </w:r>
          </w:p>
          <w:p w14:paraId="158F967C">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2.资格审查小组未发现或者未知晓投标人存在属于国家相关法律法规规定的禁止参加投标或投标无效的供应商。</w:t>
            </w:r>
          </w:p>
          <w:p w14:paraId="408CCE51">
            <w:pPr>
              <w:spacing w:line="288" w:lineRule="auto"/>
              <w:ind w:left="59" w:leftChars="28" w:right="86" w:rightChars="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【说明：投标人无须提供证明材料，上传空白页即可，不对本项上传的材料作资格审查】</w:t>
            </w:r>
          </w:p>
        </w:tc>
      </w:tr>
    </w:tbl>
    <w:p w14:paraId="7B825EB6">
      <w:pPr>
        <w:widowControl/>
        <w:numPr>
          <w:ilvl w:val="0"/>
          <w:numId w:val="0"/>
        </w:numPr>
        <w:ind w:leftChars="200"/>
        <w:rPr>
          <w:rFonts w:hint="eastAsia" w:ascii="宋体" w:hAnsi="宋体" w:eastAsia="宋体" w:cs="宋体"/>
          <w:sz w:val="22"/>
          <w:szCs w:val="22"/>
        </w:rPr>
      </w:pPr>
      <w:r>
        <w:rPr>
          <w:rFonts w:hint="eastAsia" w:ascii="宋体" w:hAnsi="宋体" w:eastAsia="宋体" w:cs="宋体"/>
          <w:sz w:val="22"/>
          <w:szCs w:val="22"/>
        </w:rPr>
        <w:t>其他资格要求：无</w:t>
      </w:r>
    </w:p>
    <w:p w14:paraId="3FE4BC87">
      <w:pPr>
        <w:widowControl/>
        <w:numPr>
          <w:ilvl w:val="0"/>
          <w:numId w:val="0"/>
        </w:numPr>
        <w:rPr>
          <w:rFonts w:hint="eastAsia" w:ascii="宋体" w:hAnsi="宋体" w:eastAsia="宋体" w:cs="宋体"/>
          <w:sz w:val="22"/>
          <w:szCs w:val="22"/>
        </w:rPr>
      </w:pPr>
    </w:p>
    <w:p w14:paraId="4DDA4B02">
      <w:pPr>
        <w:numPr>
          <w:ilvl w:val="0"/>
          <w:numId w:val="0"/>
        </w:numPr>
        <w:spacing w:line="288" w:lineRule="auto"/>
        <w:jc w:val="center"/>
        <w:outlineLvl w:val="0"/>
        <w:rPr>
          <w:rFonts w:hint="eastAsia" w:ascii="宋体" w:hAnsi="宋体" w:eastAsia="宋体" w:cs="宋体"/>
          <w:b/>
          <w:bCs/>
          <w:sz w:val="22"/>
          <w:szCs w:val="22"/>
        </w:rPr>
      </w:pPr>
      <w:bookmarkStart w:id="2" w:name="_Toc9065"/>
      <w:bookmarkStart w:id="3" w:name="_Toc5874"/>
      <w:r>
        <w:rPr>
          <w:rFonts w:hint="eastAsia" w:ascii="宋体" w:hAnsi="宋体" w:eastAsia="宋体" w:cs="宋体"/>
          <w:b/>
          <w:bCs/>
          <w:sz w:val="22"/>
          <w:szCs w:val="22"/>
          <w:lang w:val="en-US" w:eastAsia="zh-CN"/>
        </w:rPr>
        <w:t xml:space="preserve">第三部分 </w:t>
      </w:r>
      <w:r>
        <w:rPr>
          <w:rFonts w:hint="eastAsia" w:ascii="宋体" w:hAnsi="宋体" w:eastAsia="宋体" w:cs="宋体"/>
          <w:b/>
          <w:bCs/>
          <w:sz w:val="22"/>
          <w:szCs w:val="22"/>
        </w:rPr>
        <w:t>项目技术及服务内容要求</w:t>
      </w:r>
      <w:bookmarkEnd w:id="2"/>
      <w:bookmarkEnd w:id="3"/>
    </w:p>
    <w:p w14:paraId="6961A9A2">
      <w:pPr>
        <w:ind w:firstLine="442" w:firstLineChars="200"/>
        <w:jc w:val="center"/>
        <w:outlineLvl w:val="0"/>
      </w:pPr>
      <w:bookmarkStart w:id="4" w:name="_Toc23311"/>
      <w:bookmarkStart w:id="5" w:name="_Toc17685"/>
      <w:r>
        <w:rPr>
          <w:rFonts w:hint="eastAsia" w:ascii="宋体" w:hAnsi="宋体" w:eastAsia="宋体" w:cs="宋体"/>
          <w:b/>
          <w:bCs/>
          <w:sz w:val="22"/>
          <w:szCs w:val="22"/>
          <w:lang w:val="en-US" w:eastAsia="zh-CN"/>
        </w:rPr>
        <w:t xml:space="preserve">第一项 </w:t>
      </w:r>
      <w:r>
        <w:rPr>
          <w:rFonts w:hint="eastAsia" w:ascii="宋体" w:hAnsi="宋体" w:eastAsia="宋体" w:cs="宋体"/>
          <w:b/>
          <w:bCs/>
          <w:sz w:val="22"/>
          <w:szCs w:val="22"/>
        </w:rPr>
        <w:t>【西华大学未来学习中心升级建设服务】</w:t>
      </w:r>
      <w:bookmarkEnd w:id="4"/>
      <w:bookmarkEnd w:id="5"/>
    </w:p>
    <w:p w14:paraId="0E846388">
      <w:pPr>
        <w:numPr>
          <w:ilvl w:val="0"/>
          <w:numId w:val="1"/>
        </w:numPr>
        <w:ind w:left="0" w:leftChars="0" w:firstLine="0" w:firstLineChars="0"/>
        <w:outlineLvl w:val="1"/>
        <w:rPr>
          <w:rFonts w:hint="eastAsia" w:ascii="宋体" w:hAnsi="宋体" w:eastAsia="宋体" w:cs="宋体"/>
          <w:b/>
          <w:bCs/>
          <w:sz w:val="22"/>
          <w:szCs w:val="22"/>
        </w:rPr>
      </w:pPr>
      <w:bookmarkStart w:id="6" w:name="_Toc1960"/>
      <w:bookmarkStart w:id="7" w:name="_Toc31670"/>
      <w:r>
        <w:rPr>
          <w:rFonts w:hint="eastAsia" w:ascii="宋体" w:hAnsi="宋体" w:eastAsia="宋体" w:cs="宋体"/>
          <w:b/>
          <w:bCs/>
          <w:sz w:val="22"/>
          <w:szCs w:val="22"/>
        </w:rPr>
        <w:t>平台总体技术与部署升级要求</w:t>
      </w:r>
      <w:bookmarkEnd w:id="6"/>
      <w:bookmarkEnd w:id="7"/>
    </w:p>
    <w:p w14:paraId="3A7B4142">
      <w:pPr>
        <w:widowControl/>
        <w:numPr>
          <w:ilvl w:val="0"/>
          <w:numId w:val="2"/>
        </w:numPr>
        <w:ind w:left="0" w:firstLine="442" w:firstLineChars="200"/>
        <w:rPr>
          <w:rFonts w:hint="eastAsia" w:ascii="宋体" w:hAnsi="宋体" w:eastAsia="宋体" w:cs="宋体"/>
          <w:sz w:val="22"/>
          <w:szCs w:val="22"/>
        </w:rPr>
      </w:pPr>
      <w:r>
        <w:rPr>
          <w:rFonts w:hint="eastAsia" w:ascii="宋体" w:hAnsi="宋体" w:eastAsia="宋体" w:cs="宋体"/>
          <w:b/>
          <w:bCs/>
          <w:sz w:val="22"/>
          <w:szCs w:val="22"/>
        </w:rPr>
        <w:t>★</w:t>
      </w:r>
      <w:r>
        <w:rPr>
          <w:rFonts w:hint="eastAsia" w:ascii="宋体" w:hAnsi="宋体" w:eastAsia="宋体" w:cs="宋体"/>
          <w:sz w:val="22"/>
          <w:szCs w:val="22"/>
        </w:rPr>
        <w:t>平台一体化升级：在现有未来学习中心平台基础上进行升级建设，</w:t>
      </w:r>
      <w:r>
        <w:rPr>
          <w:rFonts w:ascii="宋体" w:hAnsi="宋体" w:eastAsia="宋体" w:cs="宋体"/>
          <w:sz w:val="22"/>
          <w:szCs w:val="22"/>
        </w:rPr>
        <w:t>复用已有知识体系、课程资源、业务系统数据与建设底座，</w:t>
      </w:r>
      <w:r>
        <w:rPr>
          <w:rFonts w:hint="eastAsia" w:ascii="宋体" w:hAnsi="宋体" w:eastAsia="宋体" w:cs="宋体"/>
          <w:sz w:val="22"/>
          <w:szCs w:val="22"/>
        </w:rPr>
        <w:t>不新建独立门户，所有新增功能模块在原门户上叠加扩展，</w:t>
      </w:r>
      <w:r>
        <w:rPr>
          <w:rFonts w:ascii="宋体" w:hAnsi="宋体" w:eastAsia="宋体" w:cs="宋体"/>
          <w:sz w:val="22"/>
          <w:szCs w:val="22"/>
        </w:rPr>
        <w:t>与原有系统无缝兼容、数据双向互通</w:t>
      </w:r>
      <w:r>
        <w:rPr>
          <w:rFonts w:hint="eastAsia" w:ascii="宋体" w:hAnsi="宋体" w:eastAsia="宋体" w:cs="宋体"/>
          <w:sz w:val="22"/>
          <w:szCs w:val="22"/>
        </w:rPr>
        <w:t>。整体遵循统一的界面规范、身份认证、权限管控规则与数据标准，实现功能、数据与使用体验的全平台一体化。供应商须承担平台接入过程中的全部技术沟通工作，不额外向采购人收取费用。（</w:t>
      </w:r>
      <w:r>
        <w:rPr>
          <w:rFonts w:hint="eastAsia" w:ascii="宋体" w:hAnsi="宋体" w:eastAsia="宋体" w:cs="宋体"/>
          <w:b/>
          <w:bCs/>
          <w:sz w:val="22"/>
          <w:szCs w:val="22"/>
        </w:rPr>
        <w:t>实质性参数）</w:t>
      </w:r>
    </w:p>
    <w:p w14:paraId="5F5D347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平台需支持PC端、移动端双端自适应适配，通过对接学校统一身份认证系统，自动同步用户身份、角色、权限等基础信息，实现单点登录，实现学校数据中台与平台功能模块间数据互联互通、无缝跳转。</w:t>
      </w:r>
    </w:p>
    <w:p w14:paraId="3A6849D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平台需提供私有化部署能力，具备数据备份、权限管控、安全审计与防篡改机制，支持HTTPS/TLS1.2及以上加密协议，实现敏感数据存储加密与脱敏处理。</w:t>
      </w:r>
    </w:p>
    <w:p w14:paraId="4B5FD05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平台需具备高并发承载能力，支持不低于10000名师生同时在线访问，核心功能响应时间不超过2秒，流媒体并发支持不低于10000用户，AI能力并发支持不低于2000用户同时在线，系统全年可用率不低于99.9%。</w:t>
      </w:r>
    </w:p>
    <w:p w14:paraId="4DDE9FD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平台需提供开放的标准化接口，支持与学校数据中台系统无缝对接，支持HTTP、RESTful、GraphQL等主流协议，提供接口可视化编排、调试与全生命周期管理能力。</w:t>
      </w:r>
    </w:p>
    <w:p w14:paraId="4BFB5D5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平台需内置不少于10种国产主流大语言模型接入能力，支持模型统一管理、推理调度、参数配置与效果测试，支持Qwen系列、智谱系列、豆包系列等国产大模型的无缝接入与调用。</w:t>
      </w:r>
    </w:p>
    <w:p w14:paraId="2A2FE65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支持MCP（模型上下文协议）服务全生命周期管理，提供MCP服务广场、自定义MCP服务创建、服务配置校验、自动化部署、工具调用与状态监控能力，内置学术研究、生产力工具、教学管理等场景不少于12个标准化MCP服务，支持用户自主配置与新增MCP服务。</w:t>
      </w:r>
    </w:p>
    <w:p w14:paraId="6E7FE95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提供零代码、可视化前端组件开发能力，支持单列布局、多列布局、网格布局等6种以上常见布局形式，可拖拽添加文本、图片、视频、按钮、进度条、表单等可视化组件，支持组件逻辑条件配置与事件交互设置，生成的组件可在智能体对话、门户页面中灵活调用。</w:t>
      </w:r>
    </w:p>
    <w:p w14:paraId="707FF58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平台需支持完整的操作审计日志能力，对用户登录、资源操作、数据修改、模型调用、权限变更等关键行为进行全流程记录，支持按时间、用户、操作类型进行查询与追溯，满足运维审计与合规管理要求。</w:t>
      </w:r>
    </w:p>
    <w:p w14:paraId="602FFFBF">
      <w:pPr>
        <w:numPr>
          <w:ilvl w:val="0"/>
          <w:numId w:val="1"/>
        </w:numPr>
        <w:ind w:left="0" w:leftChars="0" w:firstLine="0" w:firstLineChars="0"/>
        <w:outlineLvl w:val="1"/>
        <w:rPr>
          <w:rFonts w:hint="eastAsia" w:ascii="宋体" w:hAnsi="宋体" w:eastAsia="宋体" w:cs="宋体"/>
          <w:b/>
          <w:bCs/>
          <w:sz w:val="22"/>
          <w:szCs w:val="22"/>
        </w:rPr>
      </w:pPr>
      <w:bookmarkStart w:id="8" w:name="_Toc2735"/>
      <w:bookmarkStart w:id="9" w:name="_Toc6181"/>
      <w:r>
        <w:rPr>
          <w:rFonts w:hint="eastAsia" w:ascii="宋体" w:hAnsi="宋体" w:eastAsia="宋体" w:cs="宋体"/>
          <w:b/>
          <w:bCs/>
          <w:sz w:val="22"/>
          <w:szCs w:val="22"/>
        </w:rPr>
        <w:t>校级知识库建设参数要求</w:t>
      </w:r>
      <w:bookmarkEnd w:id="8"/>
      <w:bookmarkEnd w:id="9"/>
    </w:p>
    <w:p w14:paraId="0C0524D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学院-学校”两级知识语料体系，依托现有全校知识图谱，实现对全校≦50个微专业全知识点的覆盖与关联，支持知识点可视化展示、逻辑关联、学习路径追溯与多维度检索，支持树状图谱与网状图谱双向切换展示，支持关键知识点筛选与分层展示。</w:t>
      </w:r>
    </w:p>
    <w:p w14:paraId="0714B78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校内课程资源、虚拟仿真项目、教学视频、文档课件、习题题库、教材素材、学术文献、行业标准等多类型教学资源的统一整合管理，实现资源共建共享、分类检索、权限管控与全生命周期管理，资源存储容量不低于10TB。</w:t>
      </w:r>
    </w:p>
    <w:p w14:paraId="2011CF4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支持多系统教学数据接入、格式转换与智能化分析，提供学情统计、资源使用分析、课堂行为分析、学习成效分析等多维度可视化数据看板，支持按学院、专业、课程、班级多维度数据筛选与对比分析。</w:t>
      </w:r>
    </w:p>
    <w:p w14:paraId="53C7592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完成数据本体建模、RAG检索增强、向量编码全流程处理，支持全文、章节、段落、句子多粒度文本语义向量化提取，向量维度可配置，兼容主流向量数据库，为学科大模型训练、微专业建设、师生画像系统提供高质量、可溯源的语料与数据支撑。</w:t>
      </w:r>
    </w:p>
    <w:p w14:paraId="20890ED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支持多源接入资源的自动化结构化处理，可对Word、PDF、PPT、图片、视频等多格式资源完成自动解析、语义切分、知识抽取、标签化标注与向量编码，形成可检索、可关联、可复用的标准化知识单元。</w:t>
      </w:r>
    </w:p>
    <w:p w14:paraId="3B2E453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支持授课类视频多模态结构化解析，可自动完成音频分离、高精度语音转文字、画面OCR识别、关键帧智能提取，实现ASR文本、画面文本、关键帧的时间轴精准对齐，形成统一的视频内容索引与知识点关联。</w:t>
      </w:r>
    </w:p>
    <w:p w14:paraId="5FEBA9B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依托全校知识图谱，实现知识点智能关联、学习路径自动规划、个性化知识推荐与知识应用联动，支持基于学生学习行为、知识掌握情况实现千人千面的资源精准推送，可自动识别知识薄弱点并推送对应补学资源。</w:t>
      </w:r>
    </w:p>
    <w:p w14:paraId="74F11E3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融合创新创业核心能力，支持项目式学习、创新创业实践项目全流程管理、创新成果展示与沉淀，实现结构化知识资源与创新实践场景的衔接，支持跨学科组队项目、协作任务管理与成果共享。</w:t>
      </w:r>
    </w:p>
    <w:p w14:paraId="4F23D4B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现有手动可视化构建、批量上传文件AI自动萃取生成两种知识图谱构建模式基础上，新增AI图谱助手分步骤引导生成模式；图谱助手需支持六步引导式构建流程，完成基础信息配置、知识主题生成、多级知识点拆解、树状图谱构建、网状图谱生成、知识点内容与资源关联全流程。</w:t>
      </w:r>
    </w:p>
    <w:p w14:paraId="03AB9B0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支持团队资源库分级管理，教学团队可实现资源共建共享、协同编辑与版本管理。</w:t>
      </w:r>
    </w:p>
    <w:p w14:paraId="1EB623A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支持多级别权限配合学校账号体系。同步对资源进行对应权限管理，保证学校资源的安全和调用保护。</w:t>
      </w:r>
    </w:p>
    <w:p w14:paraId="152C29B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支持资源在平台的云存储和加密保护、支持对资源的高并发使用调度。</w:t>
      </w:r>
    </w:p>
    <w:p w14:paraId="6A62B6D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支持在资源管理首页快速检索资源，提供智能的基于语义的检索方案，支持基于多种条件的高级检索，条件参数包括：时间、发布人和发布机构、发布平台、资源类型。</w:t>
      </w:r>
    </w:p>
    <w:p w14:paraId="6E1DA9F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支持构建学校公共资源库，用于共享学习资源、学生校内办事经验、竞赛经验、社团资料、生活经验，以及教师个人科研经验和教学经验等内容。</w:t>
      </w:r>
    </w:p>
    <w:p w14:paraId="1C21607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支持公共资源库提供PC端与移动端资源上传能力，支持自动提取资源元数据，包括标题、作者、上传时间、文件类型等信息；同时允许用户自行设置资源标签与访问权限。</w:t>
      </w:r>
    </w:p>
    <w:p w14:paraId="1215F87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资源置信度体系建设，对全平台资源进行置信度标记及分级管理；普通用户上传内容默认设置为中低置信度，学校官方用户（如教师、行政人员）上传内容自动提升置信度；支持资源审核后提升置信度；支持资源引用、用户评分与自动查重；并支持侵权举报与审核处理机制。</w:t>
      </w:r>
    </w:p>
    <w:p w14:paraId="632A90D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支持接入教学平台资源，实现与教学平台的资源联动；支持关联知识图谱课程、同步课堂、校园录播视频、翻转课等教学资源；支持教师公开个人教学课程并共享学习资源；并承担相关平台接入过程中的费用。</w:t>
      </w:r>
    </w:p>
    <w:p w14:paraId="7B16AD5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搭建学校专属政策信息智能汇聚与管理体系，实现政策文件人工管理与自动采集双模式运营，支持分类查阅、关键词语义检索、更新实时提醒与溯源管理；可自动生成政策资讯每日AI摘要，支持按来源网站定制化资源推荐，供应商须承担相关平台接入过程中的全部费用。</w:t>
      </w:r>
    </w:p>
    <w:p w14:paraId="5B10C55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支持构建政策类信息中的学校官网校园资讯，以无缝镜像方式接入学校官网内容，确保镜像后的信息可被及时检索与管理。</w:t>
      </w:r>
    </w:p>
    <w:p w14:paraId="622C7B1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支持构建政策类信息中的文件类校园资讯，支持平台对文件进行统一管理、后处理、向量化处理及元数据提取；经处理后的文件需可用于AI智能体调用，支撑智能调度、智能问答等功能。</w:t>
      </w:r>
    </w:p>
    <w:p w14:paraId="413008C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支持构建政策类信息中的第三方新媒体内容，对接包括哔哩哔哩、微信公众号、视频号、抖音等新媒体平台；支持以资源接入或链接接入两种方式统一维护第三方平台内容，实现校内展示与检索管理。</w:t>
      </w:r>
    </w:p>
    <w:p w14:paraId="2B498AC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支持构建政策类信息中的学校基础信息体系，包括学校介绍、建筑介绍、历史典故等内容，在统一资源平台中沉淀学校文化底蕴，并支持在智能体与AI问答过程中调用使用。</w:t>
      </w:r>
    </w:p>
    <w:p w14:paraId="4C5526F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支持接入学校已采购的第三方平台资源，包括竞赛平台、第三方MOOC平台及书籍管理平台等，接入方式支持资源接入与链接接入两种形式</w:t>
      </w:r>
      <w:r>
        <w:rPr>
          <w:rFonts w:ascii="宋体" w:hAnsi="宋体" w:eastAsia="宋体" w:cs="宋体"/>
          <w:sz w:val="22"/>
          <w:szCs w:val="22"/>
        </w:rPr>
        <w:t>。</w:t>
      </w:r>
    </w:p>
    <w:p w14:paraId="0EDBF8D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支持接入学校内部业务平台或数据中台，实现数据、资源及工作流程对接，并支持依据部门业务流程构建AI工作流。</w:t>
      </w:r>
    </w:p>
    <w:p w14:paraId="33F2A84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支持接入并展示数据类信息，包括学校特有的Excel数据资源及SQL数据；支持接入招生要求、历史招生数据、就业数据及已采购的外部数据库；接入后的数据需支持持续更新、补充，并支持开展智能数据挖掘。</w:t>
      </w:r>
    </w:p>
    <w:p w14:paraId="5C01E2D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支持接入学校已采购的第三方订阅资源，包括学术社区、学术会议、论文、图书、政府公开数据及行业协会资讯等。</w:t>
      </w:r>
    </w:p>
    <w:p w14:paraId="37AD5F1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支持接入校内外合作数据资源，包括但不限于就业合作、校友合作、高校联盟及兄弟学院等相关数据。</w:t>
      </w:r>
    </w:p>
    <w:p w14:paraId="4C84AC9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支持文档版面解析。实现文档结构、版式、文字内容、图片位置等信息的复刻级提取，例如习题集、操作说明书等平台。</w:t>
      </w:r>
    </w:p>
    <w:p w14:paraId="12D004C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支持文件层级智能提取、具备文档内容智能提取能力。可自动识别并抽取标题、段落、目录、页码、页眉页脚、批注、脚注等元信息，并按文档逻辑结构组织成标准化的结构化数据。</w:t>
      </w:r>
    </w:p>
    <w:p w14:paraId="7730934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支持对文档中的表格、公式、流程图、图片说明等元素进行结构化识别与还原，能够将表格内容提取为可编辑的二维数据结构，公式提取为可解析的文本或数学表达式。</w:t>
      </w:r>
    </w:p>
    <w:p w14:paraId="50B012A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支持对多语言混合文档的识别与提取。包括中文、英文、数字及常见符号，能够在同一文档中准确区分不同语言类型并保持原文语义完整性。</w:t>
      </w:r>
    </w:p>
    <w:p w14:paraId="766F08F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支持可视化的复刻结果预览功能，支持用户对复刻后的文档进行在线校对，并保留完整的操作日志供审计与追溯。</w:t>
      </w:r>
    </w:p>
    <w:p w14:paraId="1D68159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支持对常见视频格式：MP4、AVI、MOV、WMV等进行批量上传与多模态解析，自动完成音频、视频帧、字幕轨道等内容的分离与结构化处理。</w:t>
      </w:r>
    </w:p>
    <w:p w14:paraId="0CC41AE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支持高精度语音转文字（ASR）能力，可对视频中的中文、英文及混合语音进行转写。</w:t>
      </w:r>
    </w:p>
    <w:p w14:paraId="1489F63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支持对视频画面中的文字内容进行OCR识别，可识别屏幕文字、字幕、手写体、场景文字等，并能语音转文字（ASR）结果进行融合校对。</w:t>
      </w:r>
    </w:p>
    <w:p w14:paraId="0C7C620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对于授课类视频，支持智能关键帧提取能力，可基于画面变化、镜头切换、动作识别、文本出现、PPT切换和去重等多维度特征自动抽取关键帧，抽取数量可按时间间隔或内容密度灵活配置。</w:t>
      </w:r>
    </w:p>
    <w:p w14:paraId="197CBC7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支持跨模态内容对齐能力，可将ASR文本、画面OCR文本、关键帧描述等多源信息进行时间轴对齐，形成统一的视频内容索引，结合AI语义向量化的能力，辅助后续的智能体应用。</w:t>
      </w:r>
    </w:p>
    <w:p w14:paraId="14A6BAD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支持基于跨模态提取结果的智能理解，包括摘要、知识点提取、语义向量化等，由此增强对视频信息的理解，构造知识图谱。</w:t>
      </w:r>
    </w:p>
    <w:p w14:paraId="4EE3EA6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支持课程级别的视频解析和对齐，对接授课平台，支持授课流程字段（授课时间、授课教师、教学大纲、备课PPT）和视频字段的对齐。</w:t>
      </w:r>
    </w:p>
    <w:p w14:paraId="7992606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于非授课类视频，允许对视频内容做文字描述字段输入、关键帧手动打标和自动打标、关键帧核心关注逻辑文案填写，后续做基于多模态大模型的视频理解。支持实现视频的多模态检索、视频中的操作动作的正误判断。</w:t>
      </w:r>
    </w:p>
    <w:p w14:paraId="22F8F07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维度AI语义向量化能力，可对提取的文档文字内容进行深层次语义解析，支持基于上下文语境的动态向量化建模，生成的语义向量需能精准表征文本的主题内涵、情感倾向及逻辑关联，向量维度可配置，且支持主流向量数据库（如Milvus）的导入与适配。语义向量在现代化AI检索中占据核心地位。</w:t>
      </w:r>
    </w:p>
    <w:p w14:paraId="067D39C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支持对不同粒度文本（全文、章节、段落、句子）的语义向量化提取，可自动识别文本语义边界并完成分层向量化，深度的向量化处理才能兼容多路召回能力，保证不止于信息片段的检索。</w:t>
      </w:r>
    </w:p>
    <w:p w14:paraId="1E12649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支持多模态理解文件版面解析，借助多模态大模型和其他技术，将理解到的版面信息转化为纯文字信息</w:t>
      </w:r>
    </w:p>
    <w:p w14:paraId="4685610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支持多模态的信息解析，支持图文解析、公式和流程图的理解，支持数据图、人物图、架构图的理解，将图像和版面信息转化为文字信息存储，搭配向量化模型，由此增强对多模态信息的理解。</w:t>
      </w:r>
    </w:p>
    <w:p w14:paraId="0E63446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支持基于用户所上传的资源生成的知识图谱，知识图谱可以关联资源、可以在资源内形成关联、可以形成多跳路径的逻辑实现。支持基于DeepRAG的图检索，实现节点数量统计检索、多跳链路检索。</w:t>
      </w:r>
    </w:p>
    <w:p w14:paraId="61004B7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支持基于语义向量化的多维度信息块表达，基于LLM大模型能力，从多个角度理解同一个信息块、支持增加、删除、修改、优化。</w:t>
      </w:r>
    </w:p>
    <w:p w14:paraId="705E4F3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excel、csv等表格形式的文件的多维度理解。通过对表格形式的理解，处理表格噪音问题：多级表头的处理、干扰性备注的剔除，处理超万行大型数据表、文件名上下文补充、用户命名不规范等问题。通过语义增强，智能合并、表格重组、业务画像构建、规则匹配、多表格联动、表格转SQL存储、表格转图谱存储等方案。</w:t>
      </w:r>
    </w:p>
    <w:p w14:paraId="418C65CA">
      <w:pPr>
        <w:numPr>
          <w:ilvl w:val="0"/>
          <w:numId w:val="1"/>
        </w:numPr>
        <w:ind w:left="0" w:leftChars="0" w:firstLine="0" w:firstLineChars="0"/>
        <w:outlineLvl w:val="1"/>
        <w:rPr>
          <w:rFonts w:hint="eastAsia" w:ascii="宋体" w:hAnsi="宋体" w:eastAsia="宋体" w:cs="宋体"/>
          <w:b/>
          <w:bCs/>
          <w:sz w:val="22"/>
          <w:szCs w:val="22"/>
        </w:rPr>
      </w:pPr>
      <w:bookmarkStart w:id="10" w:name="_Toc14226"/>
      <w:bookmarkStart w:id="11" w:name="_Toc7380"/>
      <w:r>
        <w:rPr>
          <w:rFonts w:hint="eastAsia" w:ascii="宋体" w:hAnsi="宋体" w:eastAsia="宋体" w:cs="宋体"/>
          <w:b/>
          <w:bCs/>
          <w:sz w:val="22"/>
          <w:szCs w:val="22"/>
        </w:rPr>
        <w:t>微专业全生命周期管理参数要求</w:t>
      </w:r>
      <w:bookmarkEnd w:id="10"/>
      <w:bookmarkEnd w:id="11"/>
    </w:p>
    <w:p w14:paraId="316D7CF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校内自建课程、第三方平台课程、国家级一流课程、行业企业定制课程等多源课程的全域汇聚与统一供给，实现跨平台课程统一管理、统一学习入口与学习数据统一回流，支持一键免登录跳转至对应课程学习页面。</w:t>
      </w:r>
    </w:p>
    <w:p w14:paraId="04FDE90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支持全校≦50个微专业的统一管理，实现微专业批量创建、培养方案在线备案、课程体系可视化配置、全周期数据监控与统一数据看板展示，支持培养方案与岗位需求模型、专业知识图谱的智能对齐校验。</w:t>
      </w:r>
    </w:p>
    <w:p w14:paraId="339DDEC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支持微专业全周期教学运行与过程管控，适配智能专项课程体系，实现AI学习管家联动、学情实时跟踪、学习进度预警、个性化补学资源推送功能，支持按教学单元监控课程达成度与学生学习成效。</w:t>
      </w:r>
    </w:p>
    <w:p w14:paraId="71D590E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▲支持构建“理论+实操+过程”三位一体的多维度考核评价模式，可对接AI实景训练场实操数据，实现考核数据自动归集、成绩智能核算，支持自定义考核维度与权重。</w:t>
      </w:r>
      <w:r>
        <w:rPr>
          <w:rFonts w:ascii="宋体" w:hAnsi="宋体" w:eastAsia="宋体" w:cs="宋体"/>
          <w:b/>
          <w:bCs/>
          <w:sz w:val="22"/>
          <w:szCs w:val="22"/>
        </w:rPr>
        <w:t>（提供所投真实产品的功能截图证明材料并加盖供应商公章）</w:t>
      </w:r>
    </w:p>
    <w:p w14:paraId="3BCEE9C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支持电子证书自动生成、验真、导出与教务系统无缝对接。</w:t>
      </w:r>
    </w:p>
    <w:p w14:paraId="354494D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支持微专业全链路数据统计与成果沉淀，可按教学成果奖申报要求自动生成标准化报表，实现育人案例、教学成果、培养数据的自动沉淀与一键导出，支持教学成果在线展示与评审主页搭建。</w:t>
      </w:r>
    </w:p>
    <w:p w14:paraId="583D10E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▲定制微专业专属门户，配置八大核心展示板块，PC端适配，可对接学校特色专项成果，设置专属成果展示专区，支持门户页面零代码拖拽式配置与个性化定制。</w:t>
      </w:r>
      <w:r>
        <w:rPr>
          <w:rFonts w:ascii="宋体" w:hAnsi="宋体" w:eastAsia="宋体" w:cs="宋体"/>
          <w:b/>
          <w:bCs/>
          <w:sz w:val="22"/>
          <w:szCs w:val="22"/>
        </w:rPr>
        <w:t>（提供所投真实产品的功能截图证明材料并加盖供应商公章）</w:t>
      </w:r>
    </w:p>
    <w:p w14:paraId="38DAAE8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支持搭建“院-系”两级招生与资质审核管理体系，实现自定义报名规则设置、线上材料上传、分级审核、进度推送、结果公示全流程线上化，全流程数据留痕存档，支持报名数据批量导出与统计分析。</w:t>
      </w:r>
    </w:p>
    <w:p w14:paraId="075CAF3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严格对标教育部“双千”计划标准，构建“全国-省域-校际”三级共享微专业建设体系。</w:t>
      </w:r>
    </w:p>
    <w:p w14:paraId="31D3368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▲支持微专业课程教学计划AI智能生成，可基于课程大纲自动生成教学单元、教学小节与知识点框架，标记教学重难点，为每个教学小节匹配不少于2-4个配套教学资源，支持教师在线编辑与调整。</w:t>
      </w:r>
      <w:r>
        <w:rPr>
          <w:rFonts w:ascii="宋体" w:hAnsi="宋体" w:eastAsia="宋体" w:cs="宋体"/>
          <w:b/>
          <w:bCs/>
          <w:sz w:val="22"/>
          <w:szCs w:val="22"/>
        </w:rPr>
        <w:t>（提供所投真实产品的功能截图证明材料并加盖供应商公章）</w:t>
      </w:r>
    </w:p>
    <w:p w14:paraId="2FD8AA1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支持课程大纲AI智能诊断，可自动比对课程大纲与岗位能力要求、专业培养目标、知识点图谱，识别知识点覆盖完整性、内容与岗位需求匹配度，生成结构化诊断报告与教学调整建议。</w:t>
      </w:r>
    </w:p>
    <w:p w14:paraId="7F0DD46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翻转课堂全流程线上化设计，可自定义配置课前、课中、课后全环节教学任务，支持导语、知识点作业、自定义作业、资源学习、能力实训、智能体教学等多类型任务灵活组合，可单独设置每项任务的提交时间与提交规则。</w:t>
      </w:r>
    </w:p>
    <w:p w14:paraId="0884089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内置项目协作空间模块，支持协作空间创建、成员管理、任务看板、群聊沟通、资源共享全流程功能，可绑定微专业实践项目，实现任务发布、作业绑定、提交反馈、成果归档全闭环管理，支持子任务拆解、多人协同编辑与进度追踪。</w:t>
      </w:r>
      <w:r>
        <w:rPr>
          <w:rFonts w:hint="eastAsia" w:ascii="宋体" w:hAnsi="宋体" w:eastAsia="宋体" w:cs="宋体"/>
          <w:b/>
          <w:bCs/>
          <w:sz w:val="22"/>
          <w:szCs w:val="22"/>
        </w:rPr>
        <w:t>（供应商提供真实系统现场演示）</w:t>
      </w:r>
    </w:p>
    <w:p w14:paraId="7171B7E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微专业智能体课堂与课程建设，可基于课程知识库、教学课件、实训素材自动生成智能体授课内容，支持课件编辑、讲稿优化、数字人配音与授课视频生成，学生学习过程中可与智能体实时语音交互、在线问答。</w:t>
      </w:r>
    </w:p>
    <w:p w14:paraId="5EB5C9E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支持微专业教学团队协同管理，可自定义配置教学团队成员角色与权限，支持集体备课、协同教研、教学任务分工、学生联合指导，支持教研会议线上召开与AI会议纪要自动生成。</w:t>
      </w:r>
    </w:p>
    <w:p w14:paraId="68E972D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支持学生工作台首页展示，基于学生身份自动加载学生专属工作台首页界面，作为学生登录平台后的统一学习入口。</w:t>
      </w:r>
    </w:p>
    <w:p w14:paraId="07DB14F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支持学生登录后在首页展示欢迎信息与学习提示信息，包括当前日期、教学周等内容。</w:t>
      </w:r>
    </w:p>
    <w:p w14:paraId="1077651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支持在学生工作台首页集中展示学习概览信息，包括累计学习时长、连续学习天数、累计完成任务数量等学习统计指标，辅助学生直观了解个人学习情况。</w:t>
      </w:r>
    </w:p>
    <w:p w14:paraId="59494A9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支持学生工作台首页集中展示课程日历与学习事务概览信息，包括近期课程安排、学习任务及重要学习事项摘要，帮助学生合理规划学习时间。</w:t>
      </w:r>
    </w:p>
    <w:p w14:paraId="6AA46CD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支持在学生工作台首页展示重要学习提醒信息，包括学习任务截止时间、作业提交提醒等，避免学习事项遗漏。支持按照截止时间顺序展示学生待完成的作业与学习任务。</w:t>
      </w:r>
    </w:p>
    <w:p w14:paraId="07DE415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支持汇总展示学生在所有课程中即将截止的作业与考试信息，并支持点击任务直接跳转至对应详情页面。</w:t>
      </w:r>
    </w:p>
    <w:p w14:paraId="740D6CB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支持“最近使用”或“常用功能”展示机制，根据学生使用行为动态呈现高频访问入口，提升学习操作效率。</w:t>
      </w:r>
    </w:p>
    <w:p w14:paraId="6184CF2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支持通过课程名称对课程进行检索，便于学生快速定位目标课程。学生加入新课程时，需支持通过输入班级号实现一键添加课程。</w:t>
      </w:r>
    </w:p>
    <w:p w14:paraId="2DDBAD7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支持学生选择自主探索提问或者平台推荐学习资料两种学习模式。在自主探索提问模式中，支持学生通过提问进行知识领域探索；平台推荐学习资料模式支持根据学生学习兴趣提供学习资源推荐。</w:t>
      </w:r>
    </w:p>
    <w:p w14:paraId="04BDEE9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记录并展示学生提问的探索路径。支持通过树状图/思维导图的形式展示学生的提问路径，每个问题以节点的形式展示在思维导图上，并展示与此问题相关的知识图谱和资源。对于学生当前提问的节点，需提供不少于三个推荐问题，来引导学生继续进行探索。在探索学习页面，AI算法需自动根据学生的过往提问记录，生成新的探索主题。</w:t>
      </w:r>
    </w:p>
    <w:p w14:paraId="4A7E70B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支持编辑探索路径生成的思维导图中所有的节点名称，或者删除节点。</w:t>
      </w:r>
    </w:p>
    <w:p w14:paraId="0FDF900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对于每一个问题的答案，在答案的最后固定展示所有的参考来源，点击可跳转至来源的页面。</w:t>
      </w:r>
    </w:p>
    <w:p w14:paraId="1D876F7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每一个问题的答案支持展开查看，显示答案相关的知识图谱、推荐资源，展示理解当前问题所需要的相关问题，对推荐问题进行分类，允许学生点击问题一键继续提问。查看答案时支持提供测验功能，为学生生成一道和答案相关的题目，学生可以点击选项完成作答，并在作答后显示正确答案。</w:t>
      </w:r>
    </w:p>
    <w:p w14:paraId="2C8AC91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支持教师根据教学需求，自由组建教学团队并明确成员角色与职责。教师可自定义关联对应的班级或课程。</w:t>
      </w:r>
    </w:p>
    <w:p w14:paraId="20C23A3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教师可根据需求创建课程助教，协助教师高效完成教学任务，分担教学压力，提升教学质量和互动体验。</w:t>
      </w:r>
    </w:p>
    <w:p w14:paraId="0FAF11F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提供多班级管理能力，允许单一课程下建立并管理多个教学班，适用于教师实施差异化教学、分组教学或项目制学习。</w:t>
      </w:r>
    </w:p>
    <w:p w14:paraId="02C39D5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支持教师便捷地执行学生增、删、调班操作，班级信息动态更新。</w:t>
      </w:r>
    </w:p>
    <w:p w14:paraId="6525152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支持多种学生选课方式，包括通过课程号主动选课、老师自主名单统一导入。课程支持多个教学班，老师可以对教学班进行自主管理，包括调、退课等；支持老师设置入班人员审核。</w:t>
      </w:r>
    </w:p>
    <w:p w14:paraId="44798B35">
      <w:pPr>
        <w:numPr>
          <w:ilvl w:val="0"/>
          <w:numId w:val="1"/>
        </w:numPr>
        <w:ind w:left="0" w:leftChars="0" w:firstLine="0" w:firstLineChars="0"/>
        <w:outlineLvl w:val="1"/>
        <w:rPr>
          <w:rFonts w:hint="eastAsia" w:ascii="宋体" w:hAnsi="宋体" w:eastAsia="宋体" w:cs="宋体"/>
          <w:b/>
          <w:bCs/>
          <w:sz w:val="22"/>
          <w:szCs w:val="22"/>
        </w:rPr>
      </w:pPr>
      <w:bookmarkStart w:id="12" w:name="_Toc6668"/>
      <w:bookmarkStart w:id="13" w:name="_Toc13220"/>
      <w:r>
        <w:rPr>
          <w:rFonts w:hint="eastAsia" w:ascii="宋体" w:hAnsi="宋体" w:eastAsia="宋体" w:cs="宋体"/>
          <w:b/>
          <w:bCs/>
          <w:sz w:val="22"/>
          <w:szCs w:val="22"/>
        </w:rPr>
        <w:t>西华特色学科大模型建设参数要求</w:t>
      </w:r>
      <w:bookmarkEnd w:id="12"/>
      <w:bookmarkEnd w:id="13"/>
    </w:p>
    <w:p w14:paraId="0B41C9C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以</w:t>
      </w:r>
      <w:r>
        <w:rPr>
          <w:rFonts w:ascii="宋体" w:hAnsi="宋体" w:eastAsia="宋体" w:cs="宋体"/>
          <w:sz w:val="22"/>
          <w:szCs w:val="22"/>
        </w:rPr>
        <w:t>Qwen系列、智谱系列、豆包系列</w:t>
      </w:r>
      <w:r>
        <w:rPr>
          <w:rFonts w:hint="eastAsia" w:ascii="宋体" w:hAnsi="宋体" w:eastAsia="宋体" w:cs="宋体"/>
          <w:sz w:val="22"/>
          <w:szCs w:val="22"/>
        </w:rPr>
        <w:t>国产通用大模型为基座，基于西华大学现有校级知识库、专业教材、学术文献、行业标准、教学运行数据，领域专属语料开展深度垂直训练与精调，通过知识图谱建模、多模态对齐、强化学习优化，形成专属学科大模型，支持LoRA微调、RLHF人类偏好对齐优化。</w:t>
      </w:r>
    </w:p>
    <w:p w14:paraId="7748F28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搭建全场景AI实景训练场，构建虚拟仿真场景，覆盖全流程≦20个核心实操场景，配套标准化操作考核、智能步骤讲解、AI学伴实时辅导、操作错误智能纠错功能，支持实训过程数据实时同步至学生成长画像系统。</w:t>
      </w:r>
    </w:p>
    <w:p w14:paraId="0DB0FE5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▲提供智能教研AI助教工具矩阵，适配各教学场景，实现AIGC教学资源生成、AI课程诊断与优化、AI作业与实训报告智能批阅、AI互动教学辅助四大核心功能。</w:t>
      </w:r>
      <w:r>
        <w:rPr>
          <w:rFonts w:ascii="宋体" w:hAnsi="宋体" w:eastAsia="宋体" w:cs="宋体"/>
          <w:b/>
          <w:bCs/>
          <w:sz w:val="22"/>
          <w:szCs w:val="22"/>
        </w:rPr>
        <w:t>（提供所投真实产品的功能截图证明材料并加盖供应商公章）</w:t>
      </w:r>
    </w:p>
    <w:p w14:paraId="1D61A4D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★需支持AIGC教学资源无限生成，不额外向采购人收取费用。</w:t>
      </w:r>
      <w:r>
        <w:rPr>
          <w:rFonts w:hint="eastAsia" w:ascii="宋体" w:hAnsi="宋体" w:eastAsia="宋体" w:cs="宋体"/>
          <w:b/>
          <w:bCs/>
          <w:sz w:val="22"/>
          <w:szCs w:val="22"/>
        </w:rPr>
        <w:t>（实质性参数）</w:t>
      </w:r>
    </w:p>
    <w:p w14:paraId="0FEE8A0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支撑成果研究的AI科研赋能工具，实现文献智能检索与深度解读、科研选题辅助与研究趋势分析、科研成果转化辅助、教学成果申报材料辅助生成功能，可自动生成主题研究知识图谱，挖掘领域研究热点与空白方向。</w:t>
      </w:r>
    </w:p>
    <w:p w14:paraId="5C89232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打造知学助手、研途助手、职航助手、竞锋助手四大学科特色智能助手，覆盖学生学习、升学、就业、竞赛全成长周期，同步配套产教融合智能助手，支持智能助手自定义人设、提示词配置、知识库关联与语音音色定制。</w:t>
      </w:r>
      <w:r>
        <w:rPr>
          <w:rFonts w:ascii="宋体" w:hAnsi="宋体" w:eastAsia="宋体" w:cs="宋体"/>
          <w:b/>
          <w:bCs/>
          <w:sz w:val="22"/>
          <w:szCs w:val="22"/>
        </w:rPr>
        <w:t>（提供所投真实产品的功能截图证明材料并加盖供应商公章）</w:t>
      </w:r>
    </w:p>
    <w:p w14:paraId="533A25B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搭建六大分类行业前沿资讯服务体系，采用“智能抓取+专业审核+个性化推送”运营模式，实现与行业前沿资讯与教学内容的深度融合，支持资讯订阅、关键词预警与专题汇总。</w:t>
      </w:r>
    </w:p>
    <w:p w14:paraId="1E192F2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知识精准问答，依托全校知识图谱实现知识点智能关联、学习路径自动规划、个性化知识推荐与知识应用联动，可精准解答专业领域问题，输出内容可溯源至对应知识单元与原始资源，支持文字、语音、图片多模态输入问答。</w:t>
      </w:r>
    </w:p>
    <w:p w14:paraId="1BB573B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支持多轮专业对话与上下文逻辑精准捕捉，可开展深度专业知识探讨、原理推导、公式解析、实操流程讲解，内置领域专业公式库与术语库，保障专业内容输出准确性。</w:t>
      </w:r>
    </w:p>
    <w:p w14:paraId="2A8E53D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专项能力实训模块，支持通过智能体模拟实践作业、设备运维、故障排查等多角色、多场景实训任务，可自定义实训剧本、评分标准、交互轮数，学生可通过语音与智能体实时对话完成实训，系统自动对交互过程进行多维度评分与优化建议输出。</w:t>
      </w:r>
    </w:p>
    <w:p w14:paraId="7DD649E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创建专项作业批阅智能体，适配实验报告、实训报告、课程论文、代码作业等多类型作业批阅需求，可自定义评分标准、批阅维度、评语生成规则，支持AI自动批阅与教师人工复审双模式，可逐句标注作业亮点与待改进点，生成错题归因报告。</w:t>
      </w:r>
    </w:p>
    <w:p w14:paraId="5EC5DC2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模型训练语料准备：西华特色学科大模型以教育大模型为基座，基于西华大学现有校级知识库、专业教材、学术文献（SCI\SSCI\CSSCI等）、行业标准、教学运行数据、专属语料开展深度垂直训练与精调，通过数据清洗、知识图谱建模、多模态对齐、强化学习优化，形成贴合教育专属学科大模型。完成数据本体建模、RAG检索、向量编码，为学科大模型训练提供高质量语料，同步支撑微专业建设与师生画像系统，前沿学术文献采取周期性更新，每学期更新一次训练数据。</w:t>
      </w:r>
    </w:p>
    <w:p w14:paraId="3E946ED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数据清洗：对采集的语料进行全流程合规性与准确性处理，剔除重复内容、无效信息、格式错乱数据，重点修正专业术语表述偏差，确保语料与学校教学标准、行业实操规范一致，清洗后有效语料留存率不低于92%。</w:t>
      </w:r>
    </w:p>
    <w:p w14:paraId="67F0FF7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训练数据合成：基于清洗后的基础语料，通过专业规则生成教学场景实操问答、案例分析、课程知识点解析等结构化训练数据，同步结合学校微专业教学大纲，合成“理论+实操”双维度训练样本，补充基础语料未覆盖的教学场景数据</w:t>
      </w:r>
    </w:p>
    <w:p w14:paraId="1D08949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人工数据标注：AI技术团队对核心训练数据进行人工标注，标注内容包括专业知识点分类、问答匹配度、实操步骤准确性等，每个标注类别至少经过2轮交叉校验。</w:t>
      </w:r>
    </w:p>
    <w:p w14:paraId="2D81996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模型持续迭代：构建学科大模型全生命周期迭代闭环，自动回流平台运行产生的教学、实训、问答、教研等全量高价值数据，按一年开展标准化增量精调训练与效果验证，实现模型能力持续进化，贴合学校特色学科教学与科研需求。</w:t>
      </w:r>
    </w:p>
    <w:p w14:paraId="303A3EE0">
      <w:pPr>
        <w:numPr>
          <w:ilvl w:val="0"/>
          <w:numId w:val="3"/>
        </w:numPr>
        <w:outlineLvl w:val="2"/>
        <w:rPr>
          <w:rFonts w:hint="eastAsia" w:ascii="宋体" w:hAnsi="宋体" w:eastAsia="宋体" w:cs="宋体"/>
          <w:b/>
          <w:bCs/>
          <w:sz w:val="22"/>
          <w:szCs w:val="22"/>
        </w:rPr>
      </w:pPr>
      <w:bookmarkStart w:id="14" w:name="_Toc27305"/>
      <w:bookmarkStart w:id="15" w:name="_Toc5007"/>
      <w:r>
        <w:rPr>
          <w:rFonts w:hint="eastAsia" w:ascii="宋体" w:hAnsi="宋体" w:eastAsia="宋体" w:cs="宋体"/>
          <w:b/>
          <w:bCs/>
          <w:sz w:val="22"/>
          <w:szCs w:val="22"/>
        </w:rPr>
        <w:t>教师智能助教</w:t>
      </w:r>
      <w:bookmarkEnd w:id="14"/>
      <w:bookmarkEnd w:id="15"/>
    </w:p>
    <w:p w14:paraId="0AAF6EB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支持课中互动智能辅助功能，可基于授课课件自动生成课堂互动问题、随堂测验题，支持随机抽选学生作答与AI实时点评，可对小组项目汇报进行智能点评与优化建议输出，适配专业课堂互动场景。</w:t>
      </w:r>
    </w:p>
    <w:p w14:paraId="28760E3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内置科研智问与智作模块，支持领域文献速读、核心知识点提取、图表解析、专业术语精准翻译，可基于研究方向自动生成科研选题建议与可行性分析，提供论文润色、扩写、缩写、格式优化等AI写作辅助功能。</w:t>
      </w:r>
    </w:p>
    <w:p w14:paraId="15FD766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▲支持学生探索式学习，可通过树状思维导图形式展示学生提问探索路径，针对每个问题提供不少于3个延伸推荐知识，引导学生持续深度探索，可基于探索内容自动生成配套小测验，检验知识掌握情况。</w:t>
      </w:r>
      <w:r>
        <w:rPr>
          <w:rFonts w:ascii="宋体" w:hAnsi="宋体" w:eastAsia="宋体" w:cs="宋体"/>
          <w:b/>
          <w:bCs/>
          <w:sz w:val="22"/>
          <w:szCs w:val="22"/>
        </w:rPr>
        <w:t>（提供所投真实产品的功能截图证明材料并加盖供应商公章）</w:t>
      </w:r>
    </w:p>
    <w:p w14:paraId="1F30F30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自定义学习计划生成，学生可配置学习目标、资源偏好、学习深度，系统自动生成带两级以上章节结构的个性化学习计划，涵盖学习资源、AI笔记、思维导图、配套测验全环节，适配专项知识体系学习需求。</w:t>
      </w:r>
      <w:r>
        <w:rPr>
          <w:rFonts w:hint="eastAsia" w:ascii="宋体" w:hAnsi="宋体" w:eastAsia="宋体" w:cs="宋体"/>
          <w:b/>
          <w:bCs/>
          <w:sz w:val="22"/>
          <w:szCs w:val="22"/>
        </w:rPr>
        <w:t>（供应商提供真实系统现场演示）</w:t>
      </w:r>
    </w:p>
    <w:p w14:paraId="643BBE8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支持AI白板交互功能，师生在授课、作业、对话场景中，通过白板绘制图形、上传文件、标注重点，结合大模型完成截图理解、语音问答、原理讲解，适配结构图纸、作业流程图等专业内容讲解场景。</w:t>
      </w:r>
    </w:p>
    <w:p w14:paraId="573E1B8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智能体协作体系，涵盖工具型、批阅型、助手型三大类智能体，覆盖高校教师日常教学、科研辅助、事务管理等核心工作场景，无需切换多套系统，即可通过自然语言调度各类智能体快速完成对应任务，提升教学工作效率。</w:t>
      </w:r>
      <w:r>
        <w:rPr>
          <w:rFonts w:hint="eastAsia" w:ascii="宋体" w:hAnsi="宋体" w:eastAsia="宋体" w:cs="宋体"/>
          <w:b/>
          <w:bCs/>
          <w:sz w:val="22"/>
          <w:szCs w:val="22"/>
        </w:rPr>
        <w:t>（供应商提供真实系统现场演示）</w:t>
      </w:r>
    </w:p>
    <w:p w14:paraId="0C0D81E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工具型智能体：包含会议与日程、作业管理、作业批阅、学科数据、内容创作5类细分智能体，每类智能体均配备专属名称、可视化头像及清晰功能描述，便于教师快速识别用途；各类智能体下属包含多个针对性技能工具，每个工具同样配备详细名称与功能说明，明确告知教师工具的具体用途及使用场景，助力教师精准选用工具完成对应工作。</w:t>
      </w:r>
    </w:p>
    <w:p w14:paraId="2B50E5D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批阅型智能体：聚焦高校教师核心批阅需求，细分为题卷批阅智能体、语言写作批阅智能体、论文/报告批阅智能体。题卷批阅适用于由多道题目组成的作业，支持逐项批阅打分，常用于试卷、练习题卷或实验步骤型作业。语言写作批阅适用于作文、短文、翻译等文字表达类作业，重点考察学生的语言表达能力、逻辑结构和内容完整性等。论文/报告批阅适用于论文、案例设计、报告等长文写作类型作业，侧重行文结构、学术规范与内容逻辑批阅。可满足不同类型作业的精准批阅需求。</w:t>
      </w:r>
    </w:p>
    <w:p w14:paraId="4CE6E4B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构建助手型智能体：支持教师根据自身教学工作习惯，通过自定义工作流编排生成专属智能体，满足个性化教学事务处理需求；每个自定义助手型智能体可设置专属名称、头像及功能描述。</w:t>
      </w:r>
    </w:p>
    <w:p w14:paraId="500D266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支持采用多层智能调度机制，根据教师发起的任务内容自动识别任务类型与具体需求，精准匹配对应智能体及工具并触发任务执行，无需教师手动选择或逐级查找。</w:t>
      </w:r>
    </w:p>
    <w:p w14:paraId="21FC330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构建涵盖学术研究、生产力工具、日常生活三个场景共12个MCP</w:t>
      </w:r>
      <w:r>
        <w:rPr>
          <w:rFonts w:ascii="宋体" w:hAnsi="宋体" w:eastAsia="宋体" w:cs="宋体"/>
          <w:sz w:val="22"/>
          <w:szCs w:val="22"/>
        </w:rPr>
        <w:t>（模型上下文协议）</w:t>
      </w:r>
      <w:r>
        <w:rPr>
          <w:rFonts w:hint="eastAsia" w:ascii="宋体" w:hAnsi="宋体" w:eastAsia="宋体" w:cs="宋体"/>
          <w:sz w:val="22"/>
          <w:szCs w:val="22"/>
        </w:rPr>
        <w:t>服务，支持用户选择MCP服务添加到自己的智能体，智能体可根据用户描述的具体需求自动识别并调用对应MCP服务下的合适工具，同时在对话界面实时显示正在调用的工具名称。用户也可以手动指定MCP服务完成对应任务。</w:t>
      </w:r>
    </w:p>
    <w:p w14:paraId="07B4BFB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自定义MCP服务，当平台没有所需MCP服务时，用户可自主创建MCP服务，创建时可设置MCP服务的基础信息，包括名称、头像、功能介绍等，以及server信息，server信息以json格式配置，并可实时对输入的内容进行json格式校验、提示和标注。创建提交后平台自动根据配置信息进行MCP服务连接或者自动安装部署。</w:t>
      </w:r>
    </w:p>
    <w:p w14:paraId="6F4B66B3">
      <w:pPr>
        <w:numPr>
          <w:ilvl w:val="0"/>
          <w:numId w:val="3"/>
        </w:numPr>
        <w:outlineLvl w:val="2"/>
        <w:rPr>
          <w:rFonts w:hint="eastAsia" w:ascii="宋体" w:hAnsi="宋体" w:eastAsia="宋体" w:cs="宋体"/>
          <w:b/>
          <w:bCs/>
          <w:sz w:val="22"/>
          <w:szCs w:val="22"/>
        </w:rPr>
      </w:pPr>
      <w:bookmarkStart w:id="16" w:name="_Toc23197"/>
      <w:bookmarkStart w:id="17" w:name="_Toc27056"/>
      <w:r>
        <w:rPr>
          <w:rFonts w:hint="eastAsia" w:ascii="宋体" w:hAnsi="宋体" w:eastAsia="宋体" w:cs="宋体"/>
          <w:b/>
          <w:bCs/>
          <w:sz w:val="22"/>
          <w:szCs w:val="22"/>
        </w:rPr>
        <w:t>学生智能助手</w:t>
      </w:r>
      <w:bookmarkEnd w:id="16"/>
      <w:bookmarkEnd w:id="17"/>
    </w:p>
    <w:p w14:paraId="3CF09C9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支持在学生端提供统一的智能助手入口，以对话式交互作为学生学习与事务咨询的智能服务窗口，支持学生在学习过程中随时发起智能问答与辅助请求，智能助手</w:t>
      </w:r>
      <w:r>
        <w:rPr>
          <w:rFonts w:ascii="宋体" w:hAnsi="宋体" w:eastAsia="宋体" w:cs="宋体"/>
          <w:sz w:val="22"/>
          <w:szCs w:val="22"/>
        </w:rPr>
        <w:t>提供结构化、条理化的智能回复，支持学习、课程及日常事务性问题的智能解答。</w:t>
      </w:r>
    </w:p>
    <w:p w14:paraId="4C648C6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支持智能助手以会话列表形式进行管理与展示，学生可查看历史对话记录，并支持在不同学习场景下与多个智能助手进行切换与持续对话。</w:t>
      </w:r>
    </w:p>
    <w:p w14:paraId="6045003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支持MCP调用：在学生端智能助手输入区提供MCP调用入口，允许学生在对话过程中按需启用特定能力工具，实现基于对话的专业能力增强。</w:t>
      </w:r>
    </w:p>
    <w:p w14:paraId="6A70314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支持公式接入：</w:t>
      </w:r>
      <w:r>
        <w:rPr>
          <w:rFonts w:ascii="宋体" w:hAnsi="宋体" w:eastAsia="宋体" w:cs="宋体"/>
          <w:sz w:val="22"/>
          <w:szCs w:val="22"/>
        </w:rPr>
        <w:t>智能助手具备</w:t>
      </w:r>
      <w:r>
        <w:rPr>
          <w:rFonts w:hint="eastAsia" w:ascii="宋体" w:hAnsi="宋体" w:eastAsia="宋体" w:cs="宋体"/>
          <w:sz w:val="22"/>
          <w:szCs w:val="22"/>
        </w:rPr>
        <w:t>学科公式与计算类工具能力，包括但不限于数学公式调用、化学公式调用等，辅助学生完成公式推导、计算分析与结果解释等学习场景需求。</w:t>
      </w:r>
    </w:p>
    <w:p w14:paraId="1371A34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支持语音对话与多模态交互：智能助手具备语音对话与多模态交互能力，支持学生在学习过程中通过语音方式与智能助手进行自然交互，并可在对话过程中按需启用多种多模态辅助交互能力。</w:t>
      </w:r>
    </w:p>
    <w:p w14:paraId="314BAE4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语音对话与控制能力：支持通过麦克风进行语音输入，与智能助手开展连续语音对话；支持语音会话的开始、暂停与结束控制，适配不同学习时长与节奏需求。</w:t>
      </w:r>
    </w:p>
    <w:p w14:paraId="6C38D29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音视频设备管理能力：支持在语音对话过程中对麦克风与摄像头进行开启、关闭与状态切换，满足语音交流、可视化互动及隐私控制等使用场景。</w:t>
      </w:r>
    </w:p>
    <w:p w14:paraId="67973D1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实时字幕与语音转写能力：支持在语音对话过程中开启字幕功能，将语音内容实时转写为文字进行同步展示，便于学生在复杂学习场景下理解、记录与回顾交流内容。</w:t>
      </w:r>
    </w:p>
    <w:p w14:paraId="4443456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文件打开与内容理解能力：支持学生在对话过程中打开本地或平台内学习文件，智能助手可基于文件内容进行理解，并结合语音对话提供针对性的讲解、说明与学习辅助。</w:t>
      </w:r>
    </w:p>
    <w:p w14:paraId="67B95EA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屏幕共享与内容讲解能力：支持在语音对话过程中共享当前屏幕或指定学习界面内容，智能助手可结合共享内容进行同步讲解与学习引导，辅助学生理解操作流程或学习重点。</w:t>
      </w:r>
    </w:p>
    <w:p w14:paraId="18FCB03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智能白板交互能力：支持在对话过程中启用空白板模式，学生可在白板中进行书写、绘制、粘贴学习内容，智能助手能够基于白板中的图文信息进行理解、讲解与互动式辅助说明。</w:t>
      </w:r>
    </w:p>
    <w:p w14:paraId="6ADD237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智能笔记与过程记录能力：支持在语音对话与学习交互过程中启用智能笔记功能，对对话内容与关键信息进行自动整理与记录，辅助学生形成结构化学习笔记，用于后续复习与查阅。</w:t>
      </w:r>
    </w:p>
    <w:p w14:paraId="07C3B335">
      <w:pPr>
        <w:numPr>
          <w:ilvl w:val="0"/>
          <w:numId w:val="3"/>
        </w:numPr>
        <w:outlineLvl w:val="2"/>
        <w:rPr>
          <w:rFonts w:hint="eastAsia" w:ascii="宋体" w:hAnsi="宋体" w:eastAsia="宋体" w:cs="宋体"/>
          <w:b/>
          <w:bCs/>
          <w:sz w:val="22"/>
          <w:szCs w:val="22"/>
        </w:rPr>
      </w:pPr>
      <w:bookmarkStart w:id="18" w:name="_Toc32004"/>
      <w:bookmarkStart w:id="19" w:name="_Toc26462"/>
      <w:r>
        <w:rPr>
          <w:rFonts w:hint="eastAsia" w:ascii="宋体" w:hAnsi="宋体" w:eastAsia="宋体" w:cs="宋体"/>
          <w:b/>
          <w:bCs/>
          <w:sz w:val="22"/>
          <w:szCs w:val="22"/>
        </w:rPr>
        <w:t>智能体配置</w:t>
      </w:r>
      <w:bookmarkEnd w:id="18"/>
      <w:bookmarkEnd w:id="19"/>
    </w:p>
    <w:p w14:paraId="701CC51E">
      <w:pPr>
        <w:widowControl/>
        <w:numPr>
          <w:ilvl w:val="0"/>
          <w:numId w:val="2"/>
        </w:numPr>
        <w:ind w:left="0" w:firstLine="440" w:firstLineChars="200"/>
        <w:rPr>
          <w:rFonts w:hint="eastAsia" w:ascii="宋体" w:hAnsi="宋体" w:eastAsia="宋体" w:cs="宋体"/>
          <w:sz w:val="22"/>
          <w:szCs w:val="22"/>
        </w:rPr>
      </w:pPr>
      <w:r>
        <w:rPr>
          <w:rFonts w:ascii="宋体" w:hAnsi="宋体" w:eastAsia="宋体" w:cs="宋体"/>
          <w:sz w:val="22"/>
          <w:szCs w:val="22"/>
        </w:rPr>
        <w:t>支持编写和管理智能体提示词。</w:t>
      </w:r>
      <w:r>
        <w:rPr>
          <w:rFonts w:hint="eastAsia" w:ascii="宋体" w:hAnsi="宋体" w:eastAsia="宋体" w:cs="宋体"/>
          <w:sz w:val="22"/>
          <w:szCs w:val="22"/>
        </w:rPr>
        <w:t>支持配置智能体的头像和音色，提供不少于5个选项，音色可以在页面上点击试听。</w:t>
      </w:r>
    </w:p>
    <w:p w14:paraId="7F7B5C3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支持开启或关闭智能体的记忆功能。开启后，智能体将具备长期记忆能力，能够对与用户的交互过程进行记录，并在未来的对话中使用。</w:t>
      </w:r>
    </w:p>
    <w:p w14:paraId="6EACE5B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提供不少于10种国产大语言模型供用户选择，为数字人底层语音交互功能提供技术支撑。</w:t>
      </w:r>
    </w:p>
    <w:p w14:paraId="62B0A86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支持对智能体的消息通知功能进行开启和关闭，包括作业截止、学生申请重做、作业提交人数不足、课堂开课前提醒、课堂剪辑生成等多种情况下的消息通知。</w:t>
      </w:r>
    </w:p>
    <w:p w14:paraId="04F6395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支持管理智能体的知识来源，选择开启或关闭搜索引擎、科研文献库，并配置课程知识库。</w:t>
      </w:r>
    </w:p>
    <w:p w14:paraId="5C1BAB9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支持将智能体关联到课程，允许课程下所有学生使用智能体。并能展示智能体的使用数据，以词云等形式进行数据展示，并对使用情况提供AI总结。</w:t>
      </w:r>
    </w:p>
    <w:p w14:paraId="2DAE1FF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支持用户一键重置智能体的所有配置。</w:t>
      </w:r>
    </w:p>
    <w:p w14:paraId="02350E5E">
      <w:pPr>
        <w:numPr>
          <w:ilvl w:val="0"/>
          <w:numId w:val="1"/>
        </w:numPr>
        <w:ind w:left="0" w:leftChars="0" w:firstLine="0" w:firstLineChars="0"/>
        <w:outlineLvl w:val="1"/>
        <w:rPr>
          <w:rFonts w:hint="eastAsia" w:ascii="宋体" w:hAnsi="宋体" w:eastAsia="宋体" w:cs="宋体"/>
          <w:b/>
          <w:bCs/>
          <w:sz w:val="22"/>
          <w:szCs w:val="22"/>
        </w:rPr>
      </w:pPr>
      <w:bookmarkStart w:id="20" w:name="_Toc23483"/>
      <w:bookmarkStart w:id="21" w:name="_Toc25934"/>
      <w:r>
        <w:rPr>
          <w:rFonts w:hint="eastAsia" w:ascii="宋体" w:hAnsi="宋体" w:eastAsia="宋体" w:cs="宋体"/>
          <w:b/>
          <w:bCs/>
          <w:sz w:val="22"/>
          <w:szCs w:val="22"/>
        </w:rPr>
        <w:t>全维度师生成长画像系统建设参数要求</w:t>
      </w:r>
      <w:bookmarkEnd w:id="20"/>
      <w:bookmarkEnd w:id="21"/>
    </w:p>
    <w:p w14:paraId="32849479">
      <w:pPr>
        <w:numPr>
          <w:ilvl w:val="0"/>
          <w:numId w:val="4"/>
        </w:numPr>
        <w:outlineLvl w:val="2"/>
        <w:rPr>
          <w:rFonts w:hint="eastAsia" w:ascii="宋体" w:hAnsi="宋体" w:eastAsia="宋体" w:cs="宋体"/>
          <w:b/>
          <w:bCs/>
          <w:sz w:val="22"/>
          <w:szCs w:val="22"/>
        </w:rPr>
      </w:pPr>
      <w:bookmarkStart w:id="22" w:name="_Toc24854"/>
      <w:bookmarkStart w:id="23" w:name="_Toc22447"/>
      <w:r>
        <w:rPr>
          <w:rFonts w:hint="eastAsia" w:ascii="宋体" w:hAnsi="宋体" w:eastAsia="宋体" w:cs="宋体"/>
          <w:b/>
          <w:bCs/>
          <w:sz w:val="22"/>
          <w:szCs w:val="22"/>
        </w:rPr>
        <w:t>学生成长画像系统</w:t>
      </w:r>
      <w:bookmarkEnd w:id="22"/>
      <w:bookmarkEnd w:id="23"/>
    </w:p>
    <w:p w14:paraId="635F7E7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支持学生基础信息与培养档案全维度归集，对接校内教务、学工系统基础数据，适配人才培养方案，实现课程学习数据、技能奖项、竞赛成果、创新创业项目等数据的自动归集与管理。</w:t>
      </w:r>
    </w:p>
    <w:p w14:paraId="7216BBE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支持学生线上学习行为与知识掌握度精准刻画，基于平台学习数据，实现知识点掌握度精准分析、知识薄弱点自动定位、学习行为特征深度挖掘，可生成知识点掌握度热力图与学习进度追踪曲线。</w:t>
      </w:r>
    </w:p>
    <w:p w14:paraId="66719CD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支持学生实践实训与专项能力维度画像构建，对接AI实景训练场实操数据、专项能力训练得分、校外企业实习数据等专项内容，实现实践能力全维度量化评估，可对标岗位能力要求生成能力差距分析报告。</w:t>
      </w:r>
    </w:p>
    <w:p w14:paraId="40557CA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支持学生职业发展与就业适配度分析，归集智能相关岗位实习、就业、用人单位反馈等专项数据，实现学生培养成效与产业需求适配度的精准分析与可视化呈现，可基于能力画像匹配对应岗位与职业发展建议。</w:t>
      </w:r>
    </w:p>
    <w:p w14:paraId="47D5DC0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构建画像应用与支撑功能，实现学生可视化成长看板、个性化学习推荐、学业风险预警、成果数据可视化导出四个功能，可按学期、学年生成学生成长报告。</w:t>
      </w:r>
    </w:p>
    <w:p w14:paraId="372ACEB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支持学生分层学情分析，可按知识掌握程度、学习能力、学习进度等维度实现学生自动分层，为教师开展分层教学、差异化辅导提供数据支撑，可对比分析不同层次学生的学习行为与成效差异。</w:t>
      </w:r>
    </w:p>
    <w:p w14:paraId="5ED6A92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支持学生学习行为全链路追踪，可完整记录学生从课程学习、资源访问、作业完成、实训操作到考核评价的全流程数据，分析学生学习习惯、学习偏好与学习效率，生成个性化学习优化建议。</w:t>
      </w:r>
    </w:p>
    <w:p w14:paraId="48D956B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支持学生能力成长纵向追踪，对学生从入学到毕业的成长轨迹进行全周期跟踪，综合展现其知识增长、能力提升与发展潜力，精准识别学生优势特长与能力短板，适配专业人才培养全过程。</w:t>
      </w:r>
    </w:p>
    <w:p w14:paraId="1A910E84">
      <w:pPr>
        <w:numPr>
          <w:ilvl w:val="0"/>
          <w:numId w:val="4"/>
        </w:numPr>
        <w:outlineLvl w:val="2"/>
        <w:rPr>
          <w:rFonts w:hint="eastAsia" w:ascii="宋体" w:hAnsi="宋体" w:eastAsia="宋体" w:cs="宋体"/>
          <w:b/>
          <w:bCs/>
          <w:sz w:val="22"/>
          <w:szCs w:val="22"/>
        </w:rPr>
      </w:pPr>
      <w:bookmarkStart w:id="24" w:name="_Toc13564"/>
      <w:bookmarkStart w:id="25" w:name="_Toc9831"/>
      <w:r>
        <w:rPr>
          <w:rFonts w:hint="eastAsia" w:ascii="宋体" w:hAnsi="宋体" w:eastAsia="宋体" w:cs="宋体"/>
          <w:b/>
          <w:bCs/>
          <w:sz w:val="22"/>
          <w:szCs w:val="22"/>
        </w:rPr>
        <w:t>教师成长画像系统</w:t>
      </w:r>
      <w:bookmarkEnd w:id="24"/>
      <w:bookmarkEnd w:id="25"/>
    </w:p>
    <w:p w14:paraId="7163352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支持教师线上教研与教学运行全维度刻画，实现AI教学工具使用情况、教学团队协同教研、班级学业成效等数据的全维度采集与分析，可追踪教研活动全流程数据与成果沉淀。</w:t>
      </w:r>
    </w:p>
    <w:p w14:paraId="1C98B58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支持教师线下授课与课堂教学质量维度综合评估，实现课堂教学质量全维度评分、督导/同行/学生评价综合分析与优化建议自动生成，可从教学设计、教学内容、课堂互动、育人成效等多维度开展AI综合评价。</w:t>
      </w:r>
    </w:p>
    <w:p w14:paraId="32D8CB1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教师画像中归集育人成效与学生指导维度数据，自动汇聚教师在学业指导、竞赛指导、创新创业指导、就业指导等工作中的指导行为与成效数据，并进行量化分析，以被指导学生的能力成长变化作为衡量教师育人成效的评价依据。</w:t>
      </w:r>
    </w:p>
    <w:p w14:paraId="4520C2F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构建画像应用与支撑功能，实现教师教研成长可视化看板，为各类教学奖项申报提供教研方向的师资维度佐证。</w:t>
      </w:r>
    </w:p>
    <w:p w14:paraId="60CC295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支持教师课堂教学行为AI分析，可从授课语速、教学方法多样性、时间分配合理性、思政元素融入等维度开展量化分析，识别教学优势与待改进点，生成针对性教学优化建议。</w:t>
      </w:r>
    </w:p>
    <w:p w14:paraId="61DB5309">
      <w:pPr>
        <w:numPr>
          <w:ilvl w:val="0"/>
          <w:numId w:val="1"/>
        </w:numPr>
        <w:ind w:left="0" w:leftChars="0" w:firstLine="0" w:firstLineChars="0"/>
        <w:outlineLvl w:val="1"/>
        <w:rPr>
          <w:rFonts w:hint="eastAsia" w:ascii="宋体" w:hAnsi="宋体" w:eastAsia="宋体" w:cs="宋体"/>
          <w:b/>
          <w:bCs/>
          <w:sz w:val="22"/>
          <w:szCs w:val="22"/>
        </w:rPr>
      </w:pPr>
      <w:bookmarkStart w:id="26" w:name="_Toc7497"/>
      <w:bookmarkStart w:id="27" w:name="_Toc8231"/>
      <w:r>
        <w:rPr>
          <w:rFonts w:hint="eastAsia" w:ascii="宋体" w:hAnsi="宋体" w:eastAsia="宋体" w:cs="宋体"/>
          <w:b/>
          <w:bCs/>
          <w:sz w:val="22"/>
          <w:szCs w:val="22"/>
        </w:rPr>
        <w:t>数据管理</w:t>
      </w:r>
      <w:bookmarkEnd w:id="26"/>
      <w:bookmarkEnd w:id="27"/>
    </w:p>
    <w:p w14:paraId="213BCF3C">
      <w:pPr>
        <w:numPr>
          <w:ilvl w:val="0"/>
          <w:numId w:val="5"/>
        </w:numPr>
        <w:outlineLvl w:val="2"/>
        <w:rPr>
          <w:rFonts w:hint="eastAsia" w:ascii="宋体" w:hAnsi="宋体" w:eastAsia="宋体" w:cs="宋体"/>
          <w:b/>
          <w:bCs/>
          <w:sz w:val="22"/>
          <w:szCs w:val="22"/>
        </w:rPr>
      </w:pPr>
      <w:bookmarkStart w:id="28" w:name="_Toc18613"/>
      <w:bookmarkStart w:id="29" w:name="_Toc15034"/>
      <w:r>
        <w:rPr>
          <w:rFonts w:hint="eastAsia" w:ascii="宋体" w:hAnsi="宋体" w:eastAsia="宋体" w:cs="宋体"/>
          <w:b/>
          <w:bCs/>
          <w:sz w:val="22"/>
          <w:szCs w:val="22"/>
        </w:rPr>
        <w:t>多源数据接入能力</w:t>
      </w:r>
      <w:bookmarkEnd w:id="28"/>
      <w:bookmarkEnd w:id="29"/>
    </w:p>
    <w:p w14:paraId="51DD5EB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支持多种数据接入方式，包括ModelScope推荐数据集直接下载、HuggingFace公开数据集导入、本地文件上传（jsonl、csv、txt、zip、pdf等格式）以及数据库与API接口对接。</w:t>
      </w:r>
    </w:p>
    <w:p w14:paraId="4930427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支持数据集分类管理，涵盖问答（QA）、文本生成、分类（Classification）、摘要（Summarization）及多任务（Multi-task）等类型。</w:t>
      </w:r>
    </w:p>
    <w:p w14:paraId="1DED65E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支持数据集搜索与筛选能力，可按名称、任务类型、语言及下载量等条件进行筛选。</w:t>
      </w:r>
    </w:p>
    <w:p w14:paraId="5CD32BC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支持数据集批量导入能力。</w:t>
      </w:r>
    </w:p>
    <w:p w14:paraId="7E8E87C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支持数据接入来源标记，包括手动上传、平台推荐及第三方导入等来源标识。</w:t>
      </w:r>
    </w:p>
    <w:p w14:paraId="3B6F0CE1">
      <w:pPr>
        <w:numPr>
          <w:ilvl w:val="0"/>
          <w:numId w:val="5"/>
        </w:numPr>
        <w:outlineLvl w:val="2"/>
        <w:rPr>
          <w:rFonts w:hint="eastAsia" w:ascii="宋体" w:hAnsi="宋体" w:eastAsia="宋体" w:cs="宋体"/>
          <w:b/>
          <w:bCs/>
          <w:sz w:val="22"/>
          <w:szCs w:val="22"/>
        </w:rPr>
      </w:pPr>
      <w:bookmarkStart w:id="30" w:name="_Toc10922"/>
      <w:bookmarkStart w:id="31" w:name="_Toc25786"/>
      <w:r>
        <w:rPr>
          <w:rFonts w:hint="eastAsia" w:ascii="宋体" w:hAnsi="宋体" w:eastAsia="宋体" w:cs="宋体"/>
          <w:b/>
          <w:bCs/>
          <w:sz w:val="22"/>
          <w:szCs w:val="22"/>
        </w:rPr>
        <w:t>智能数据清洗能力</w:t>
      </w:r>
      <w:bookmarkEnd w:id="30"/>
      <w:bookmarkEnd w:id="31"/>
    </w:p>
    <w:p w14:paraId="4F7EB35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支持面向不同任务类型的数据清洗策略，包括SFT监督微调、Pretrain预训练、Reward奖励模型、RLHF强化学习及DPO直接偏好优化等场景。</w:t>
      </w:r>
    </w:p>
    <w:p w14:paraId="4B4BFDC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支持基于大模型的智能数据质量评估能力，对数据集进行完整性、密度、可读性、事实性、语法、连贯性及总体质量等七个维度评分。</w:t>
      </w:r>
    </w:p>
    <w:p w14:paraId="265ADB6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支持自动去重能力，可检测重复样本并统计去重比例。</w:t>
      </w:r>
    </w:p>
    <w:p w14:paraId="583E594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支持数据修复能力，基于AI自动识别问题样本并生成修复建议。</w:t>
      </w:r>
    </w:p>
    <w:p w14:paraId="3453FB6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支持数据清洗过程的实时进度监控，包含清洗进度百分比、当前处理阶段状态、预计剩余时间及实时日志输出。</w:t>
      </w:r>
    </w:p>
    <w:p w14:paraId="580DE658">
      <w:pPr>
        <w:numPr>
          <w:ilvl w:val="0"/>
          <w:numId w:val="5"/>
        </w:numPr>
        <w:outlineLvl w:val="2"/>
        <w:rPr>
          <w:rFonts w:hint="eastAsia" w:ascii="宋体" w:hAnsi="宋体" w:eastAsia="宋体" w:cs="宋体"/>
          <w:b/>
          <w:bCs/>
          <w:sz w:val="22"/>
          <w:szCs w:val="22"/>
        </w:rPr>
      </w:pPr>
      <w:bookmarkStart w:id="32" w:name="_Toc1538"/>
      <w:bookmarkStart w:id="33" w:name="_Toc25744"/>
      <w:r>
        <w:rPr>
          <w:rFonts w:hint="eastAsia" w:ascii="宋体" w:hAnsi="宋体" w:eastAsia="宋体" w:cs="宋体"/>
          <w:b/>
          <w:bCs/>
          <w:sz w:val="22"/>
          <w:szCs w:val="22"/>
        </w:rPr>
        <w:t>数据质量评估能力</w:t>
      </w:r>
      <w:bookmarkEnd w:id="32"/>
      <w:bookmarkEnd w:id="33"/>
    </w:p>
    <w:p w14:paraId="68DB50D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支持七个维度数据质量评估，包括完整性、信息密度、可读性、事实性、语法正确性、上下文连贯性及总体质量加权评分。</w:t>
      </w:r>
    </w:p>
    <w:p w14:paraId="6BF87D5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支持问题样本智能诊断能力，自动识别低质量样本并标注问题类型，如字段缺失、格式错误、内容冗余、事实错误、语法错误及逻辑不连贯，并生成修复建议。</w:t>
      </w:r>
    </w:p>
    <w:p w14:paraId="4234E75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支持数据质量趋势分析能力，可对比清洗前后数据质量变化并统计质量提升幅度。</w:t>
      </w:r>
    </w:p>
    <w:p w14:paraId="53BF7551">
      <w:pPr>
        <w:numPr>
          <w:ilvl w:val="0"/>
          <w:numId w:val="5"/>
        </w:numPr>
        <w:outlineLvl w:val="2"/>
        <w:rPr>
          <w:rFonts w:hint="eastAsia" w:ascii="宋体" w:hAnsi="宋体" w:eastAsia="宋体" w:cs="宋体"/>
          <w:b/>
          <w:bCs/>
          <w:sz w:val="22"/>
          <w:szCs w:val="22"/>
        </w:rPr>
      </w:pPr>
      <w:bookmarkStart w:id="34" w:name="_Toc12857"/>
      <w:bookmarkStart w:id="35" w:name="_Toc24324"/>
      <w:r>
        <w:rPr>
          <w:rFonts w:hint="eastAsia" w:ascii="宋体" w:hAnsi="宋体" w:eastAsia="宋体" w:cs="宋体"/>
          <w:b/>
          <w:bCs/>
          <w:sz w:val="22"/>
          <w:szCs w:val="22"/>
        </w:rPr>
        <w:t>数据集打包与导出能力</w:t>
      </w:r>
      <w:bookmarkEnd w:id="34"/>
      <w:bookmarkEnd w:id="35"/>
    </w:p>
    <w:p w14:paraId="16C5345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支持多种数据集打包格式，包括HuggingFaceHFDatasets、Alpaca、ShareGPT及通用jsonl格式。</w:t>
      </w:r>
    </w:p>
    <w:p w14:paraId="3FC4545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支持训练框架适配能力，包括LLaMA-Factory、DeepSpeed、Megatron-LM及自定义训练格式。</w:t>
      </w:r>
    </w:p>
    <w:p w14:paraId="70C55D5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支持数据集分片能力，可按训练集、验证集、测试集进行拆分，支持自定义分片比例及压缩打包导出。</w:t>
      </w:r>
    </w:p>
    <w:p w14:paraId="202D0EEB">
      <w:pPr>
        <w:numPr>
          <w:ilvl w:val="0"/>
          <w:numId w:val="5"/>
        </w:numPr>
        <w:outlineLvl w:val="2"/>
        <w:rPr>
          <w:rFonts w:hint="eastAsia" w:ascii="宋体" w:hAnsi="宋体" w:eastAsia="宋体" w:cs="宋体"/>
          <w:b/>
          <w:bCs/>
          <w:sz w:val="22"/>
          <w:szCs w:val="22"/>
        </w:rPr>
      </w:pPr>
      <w:bookmarkStart w:id="36" w:name="_Toc3422"/>
      <w:bookmarkStart w:id="37" w:name="_Toc18206"/>
      <w:r>
        <w:rPr>
          <w:rFonts w:hint="eastAsia" w:ascii="宋体" w:hAnsi="宋体" w:eastAsia="宋体" w:cs="宋体"/>
          <w:b/>
          <w:bCs/>
          <w:sz w:val="22"/>
          <w:szCs w:val="22"/>
        </w:rPr>
        <w:t>版本管理与追踪能力</w:t>
      </w:r>
      <w:bookmarkEnd w:id="36"/>
      <w:bookmarkEnd w:id="37"/>
    </w:p>
    <w:p w14:paraId="4D85F1A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支持数据集版本控制，每次清洗或修复生成独立版本，并支持v1.0、v1.1、v2.0等版本标记。</w:t>
      </w:r>
    </w:p>
    <w:p w14:paraId="22926EE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支持版本历史查看能力，展示版本创建时间、版本描述及质量评分变化情况。</w:t>
      </w:r>
    </w:p>
    <w:p w14:paraId="4EC7173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支持版本对比能力，可对不同版本的数据质量差异、样本数量变化、字段变化及问题修复情况进行对比分析。</w:t>
      </w:r>
    </w:p>
    <w:p w14:paraId="47B67CE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支持版本回滚能力，可恢复至历史数据版本。</w:t>
      </w:r>
    </w:p>
    <w:p w14:paraId="4AF74B7D">
      <w:pPr>
        <w:numPr>
          <w:ilvl w:val="0"/>
          <w:numId w:val="5"/>
        </w:numPr>
        <w:outlineLvl w:val="2"/>
        <w:rPr>
          <w:rFonts w:hint="eastAsia" w:ascii="宋体" w:hAnsi="宋体" w:eastAsia="宋体" w:cs="宋体"/>
          <w:b/>
          <w:bCs/>
          <w:sz w:val="22"/>
          <w:szCs w:val="22"/>
        </w:rPr>
      </w:pPr>
      <w:bookmarkStart w:id="38" w:name="_Toc32516"/>
      <w:bookmarkStart w:id="39" w:name="_Toc18020"/>
      <w:r>
        <w:rPr>
          <w:rFonts w:hint="eastAsia" w:ascii="宋体" w:hAnsi="宋体" w:eastAsia="宋体" w:cs="宋体"/>
          <w:b/>
          <w:bCs/>
          <w:sz w:val="22"/>
          <w:szCs w:val="22"/>
        </w:rPr>
        <w:t>训练可用性评估能力</w:t>
      </w:r>
      <w:bookmarkEnd w:id="38"/>
      <w:bookmarkEnd w:id="39"/>
    </w:p>
    <w:p w14:paraId="76D3B35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支持一键评估数据集训练就绪度，包括数据格式合规性、样本数量充足性、数据多样性以及训练成本与时间预估。</w:t>
      </w:r>
    </w:p>
    <w:p w14:paraId="231C8C3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支持数据集兼容性检查能力，包括与目标模型及训练框架的兼容性检测。</w:t>
      </w:r>
    </w:p>
    <w:p w14:paraId="772D5F0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支持训练建议能力，基于AI给出数据优化建议并推荐适配的训练参数。</w:t>
      </w:r>
    </w:p>
    <w:p w14:paraId="3899FBF0">
      <w:pPr>
        <w:numPr>
          <w:ilvl w:val="0"/>
          <w:numId w:val="5"/>
        </w:numPr>
        <w:outlineLvl w:val="2"/>
        <w:rPr>
          <w:rFonts w:hint="eastAsia" w:ascii="宋体" w:hAnsi="宋体" w:eastAsia="宋体" w:cs="宋体"/>
          <w:b/>
          <w:bCs/>
          <w:sz w:val="22"/>
          <w:szCs w:val="22"/>
        </w:rPr>
      </w:pPr>
      <w:bookmarkStart w:id="40" w:name="_Toc25347"/>
      <w:bookmarkStart w:id="41" w:name="_Toc16003"/>
      <w:r>
        <w:rPr>
          <w:rFonts w:hint="eastAsia" w:ascii="宋体" w:hAnsi="宋体" w:eastAsia="宋体" w:cs="宋体"/>
          <w:b/>
          <w:bCs/>
          <w:sz w:val="22"/>
          <w:szCs w:val="22"/>
        </w:rPr>
        <w:t>数据预览与采样能力</w:t>
      </w:r>
      <w:bookmarkEnd w:id="40"/>
      <w:bookmarkEnd w:id="41"/>
    </w:p>
    <w:p w14:paraId="235F592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支持数据集预览能力，可查看前N条样本，并支持jsonl、csv、txt、pdf等格式内容展示。</w:t>
      </w:r>
    </w:p>
    <w:p w14:paraId="715A0B8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支持随机采样能力，可随机抽取指定数量样本进行查看。</w:t>
      </w:r>
    </w:p>
    <w:p w14:paraId="25520710">
      <w:pPr>
        <w:numPr>
          <w:ilvl w:val="0"/>
          <w:numId w:val="5"/>
        </w:numPr>
        <w:outlineLvl w:val="2"/>
        <w:rPr>
          <w:rFonts w:hint="eastAsia" w:ascii="宋体" w:hAnsi="宋体" w:eastAsia="宋体" w:cs="宋体"/>
          <w:b/>
          <w:bCs/>
          <w:sz w:val="22"/>
          <w:szCs w:val="22"/>
        </w:rPr>
      </w:pPr>
      <w:bookmarkStart w:id="42" w:name="_Toc24132"/>
      <w:bookmarkStart w:id="43" w:name="_Toc1444"/>
      <w:r>
        <w:rPr>
          <w:rFonts w:hint="eastAsia" w:ascii="宋体" w:hAnsi="宋体" w:eastAsia="宋体" w:cs="宋体"/>
          <w:b/>
          <w:bCs/>
          <w:sz w:val="22"/>
          <w:szCs w:val="22"/>
        </w:rPr>
        <w:t>数据项目管理</w:t>
      </w:r>
      <w:bookmarkEnd w:id="42"/>
      <w:bookmarkEnd w:id="43"/>
    </w:p>
    <w:p w14:paraId="4D7D605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支持以项目维度整合接口、数据模型、自动化脚本等功能。将分散、异构的数据整合处理后，以标准化接口（如API）或可视化界面按需提供给用户/应用。</w:t>
      </w:r>
    </w:p>
    <w:p w14:paraId="2D36D90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支持快捷新增项目，支持参数快速定义和编辑：项目名称、项目标签、项目Code、描述。</w:t>
      </w:r>
    </w:p>
    <w:p w14:paraId="4C88888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支持项目级别的独立响应，以项目为中心，服务之间的运行是独立不互相干扰的。本系统不需要改造原生系统，快速对外释放数据服务的能力。服务化运行，按需弹性扩展，保障数据团队业务并行中的稳定性。</w:t>
      </w:r>
    </w:p>
    <w:p w14:paraId="1829DB18">
      <w:pPr>
        <w:numPr>
          <w:ilvl w:val="0"/>
          <w:numId w:val="5"/>
        </w:numPr>
        <w:outlineLvl w:val="2"/>
        <w:rPr>
          <w:rFonts w:hint="eastAsia" w:ascii="宋体" w:hAnsi="宋体" w:eastAsia="宋体" w:cs="宋体"/>
          <w:b/>
          <w:bCs/>
          <w:sz w:val="22"/>
          <w:szCs w:val="22"/>
        </w:rPr>
      </w:pPr>
      <w:bookmarkStart w:id="44" w:name="_Toc7381"/>
      <w:bookmarkStart w:id="45" w:name="_Toc20888"/>
      <w:r>
        <w:rPr>
          <w:rFonts w:hint="eastAsia" w:ascii="宋体" w:hAnsi="宋体" w:eastAsia="宋体" w:cs="宋体"/>
          <w:b/>
          <w:bCs/>
          <w:sz w:val="22"/>
          <w:szCs w:val="22"/>
        </w:rPr>
        <w:t>自定义接口管理</w:t>
      </w:r>
      <w:bookmarkEnd w:id="44"/>
      <w:bookmarkEnd w:id="45"/>
    </w:p>
    <w:p w14:paraId="397E4A8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支持以分支管理自定义接口，支持轻量级Git工作流，支持多环节并行开发、分支之间数据导入与合并、精准追溯数据来源。</w:t>
      </w:r>
    </w:p>
    <w:p w14:paraId="27D704C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支持创建文件夹管理多个自定义接口，由文件夹对自定义接口做分类管理。</w:t>
      </w:r>
    </w:p>
    <w:p w14:paraId="58A05FB4">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以文档的形式展示自定义接口，通过文档模式可快速了解接口全情。展示内容包括：接口发布状态、描述信息、接口URL、接口请求类型、创建时间、最后编辑时间、数据流动流程图、请求参数，其中请求参数包括文档模式和调试模式。</w:t>
      </w:r>
    </w:p>
    <w:p w14:paraId="7259B00D">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自定义接口的文档展示页面中，支持请求参数的调试模式，允许填写请求入参并试运行，快速调试接口。页面内快速调试可缩短开发与测试流程。</w:t>
      </w:r>
    </w:p>
    <w:p w14:paraId="1992DF5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自定义接口，支持编辑参数并自动保存参数：接口发布状态、描述信息、接口路径支持半自定义、流程化编排以及调试、请求入参、返回值。其中接口路径由固定路径和自定义名称组成。兼容通用数据接口字段，保障后续任意方式的接口调用。</w:t>
      </w:r>
    </w:p>
    <w:p w14:paraId="006F37C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自定义接口的编排以及调试功能中，支持可视化编排与可视化界面操作，支持将编程代码/SQL逻辑自由组合封装为标准化HTTP/GraphQL服务。轻量化定义数据流转流程，降低使用门槛。</w:t>
      </w:r>
    </w:p>
    <w:p w14:paraId="7F6C502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自定义接口的编排以及调试功能中，允许添加节点：数据库查询、外部接口、SQL执行、脚本请求、变量转换、逻辑判断。编排流程中兼容串行设计和并行设计，符合多类型的数据流转设计。</w:t>
      </w:r>
    </w:p>
    <w:p w14:paraId="59E5473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支持在编排完成后原页面快速试运行，调试接口效果。支持在编辑页面调试并保存多次运行日志。</w:t>
      </w:r>
    </w:p>
    <w:p w14:paraId="2E149CA9">
      <w:pPr>
        <w:numPr>
          <w:ilvl w:val="0"/>
          <w:numId w:val="5"/>
        </w:numPr>
        <w:outlineLvl w:val="2"/>
        <w:rPr>
          <w:rFonts w:hint="eastAsia" w:ascii="宋体" w:hAnsi="宋体" w:eastAsia="宋体" w:cs="宋体"/>
          <w:b/>
          <w:bCs/>
          <w:sz w:val="22"/>
          <w:szCs w:val="22"/>
        </w:rPr>
      </w:pPr>
      <w:bookmarkStart w:id="46" w:name="_Toc22833"/>
      <w:bookmarkStart w:id="47" w:name="_Toc32522"/>
      <w:r>
        <w:rPr>
          <w:rFonts w:hint="eastAsia" w:ascii="宋体" w:hAnsi="宋体" w:eastAsia="宋体" w:cs="宋体"/>
          <w:b/>
          <w:bCs/>
          <w:sz w:val="22"/>
          <w:szCs w:val="22"/>
        </w:rPr>
        <w:t>安全管理</w:t>
      </w:r>
      <w:bookmarkEnd w:id="46"/>
      <w:bookmarkEnd w:id="47"/>
    </w:p>
    <w:p w14:paraId="7542E10F">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支持对接用户方安全词库，实现安全策略与内容治理能力的统一接入。</w:t>
      </w:r>
    </w:p>
    <w:p w14:paraId="338D347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支持安全题库的编辑与维护能力。</w:t>
      </w:r>
    </w:p>
    <w:p w14:paraId="36F1428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支持模型调用安全检查能力，可从调用频率、IP来源、使用量等维度进行安全校验与控制。</w:t>
      </w:r>
    </w:p>
    <w:p w14:paraId="4D22DE0B">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支持完整的操作审计日志能力，对用户操作、API调用、资源变更及审批记录进行全流程记录，并支持按时间、用户及操作类型进行查询。</w:t>
      </w:r>
    </w:p>
    <w:p w14:paraId="577B78B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支持基于KubernetesNamespace的资源隔离能力，不同用户可使用独立资源空间，实现计算资源与网络资源隔离。</w:t>
      </w:r>
    </w:p>
    <w:p w14:paraId="4D2DBBD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支持API调用日志记录能力，可记录请求参数、响应结果、调用耗时、IP地址及User-Agent等信息。</w:t>
      </w:r>
    </w:p>
    <w:p w14:paraId="30D11EE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支持基于JWTToken的身份认证机制，支持Token有效期配置及Token刷新能力。</w:t>
      </w:r>
    </w:p>
    <w:p w14:paraId="68B66D5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支持RBAC角色权限控制机制，支持平台管理员、项目负责人、开发者、审计员等角色配置，并支持不少于20项权限点的精细化管控。</w:t>
      </w:r>
    </w:p>
    <w:p w14:paraId="7DD78DAE">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支持数据传输加密能力，采用HTTPS/TLS1.2及以上协议保障传输安全。</w:t>
      </w:r>
    </w:p>
    <w:p w14:paraId="617FBBE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支持数据存储加密能力，包括数据库字段加密及敏感数据脱敏处理。</w:t>
      </w:r>
    </w:p>
    <w:p w14:paraId="2BACAB63">
      <w:pPr>
        <w:numPr>
          <w:ilvl w:val="0"/>
          <w:numId w:val="5"/>
        </w:numPr>
        <w:outlineLvl w:val="2"/>
        <w:rPr>
          <w:rFonts w:hint="eastAsia" w:ascii="宋体" w:hAnsi="宋体" w:eastAsia="宋体" w:cs="宋体"/>
          <w:b/>
          <w:bCs/>
          <w:sz w:val="22"/>
          <w:szCs w:val="22"/>
        </w:rPr>
      </w:pPr>
      <w:bookmarkStart w:id="48" w:name="_Toc8922"/>
      <w:bookmarkStart w:id="49" w:name="_Toc24771"/>
      <w:r>
        <w:rPr>
          <w:rFonts w:hint="eastAsia" w:ascii="宋体" w:hAnsi="宋体" w:eastAsia="宋体" w:cs="宋体"/>
          <w:b/>
          <w:bCs/>
          <w:sz w:val="22"/>
          <w:szCs w:val="22"/>
        </w:rPr>
        <w:t>通用AI能力管理</w:t>
      </w:r>
      <w:bookmarkEnd w:id="48"/>
      <w:bookmarkEnd w:id="49"/>
    </w:p>
    <w:p w14:paraId="6D5E476A">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文本转语音能力</w:t>
      </w:r>
    </w:p>
    <w:p w14:paraId="5A0B9EF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支持文本转语音能力，支持中文、英文、日语、韩语多语言语音合成。</w:t>
      </w:r>
    </w:p>
    <w:p w14:paraId="1A4007D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支持多音色输出，包括男声、女声、童声等类型。</w:t>
      </w:r>
    </w:p>
    <w:p w14:paraId="01734CD7">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支持语速调节能力，满足不同应用场景需求。</w:t>
      </w:r>
    </w:p>
    <w:p w14:paraId="337AB51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支持MP3、WAV、FLAC等音频格式输出，并支持流式语音输出。</w:t>
      </w:r>
    </w:p>
    <w:p w14:paraId="311548B5">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语音识别能力</w:t>
      </w:r>
    </w:p>
    <w:p w14:paraId="6DA8728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支持语音实时识别与离线识别两种模式。</w:t>
      </w:r>
    </w:p>
    <w:p w14:paraId="46DB053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支持语音降噪处理能力，并支持语音识别结果自动生成字幕文本。</w:t>
      </w:r>
    </w:p>
    <w:p w14:paraId="1FD6DAE6">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文本识别能力</w:t>
      </w:r>
    </w:p>
    <w:p w14:paraId="775A86A2">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支持中文、英文、日语、韩语等多语言文字识别。</w:t>
      </w:r>
    </w:p>
    <w:p w14:paraId="6D7B50D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支持手写体文字识别能力。</w:t>
      </w:r>
    </w:p>
    <w:p w14:paraId="09C8B70A">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支持表格结构识别，并支持PDF与图片等多种文件格式输入。</w:t>
      </w:r>
    </w:p>
    <w:p w14:paraId="466404D5">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大模型推理能力</w:t>
      </w:r>
    </w:p>
    <w:p w14:paraId="4679AA9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支持Qwen系列、GPT系列、Claude系列、Llama系列、智谱系列、豆包系列等主流大模型接入与调用。</w:t>
      </w:r>
    </w:p>
    <w:p w14:paraId="59B2BBB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支持对话补全、文本生成、代码生成、翻译等多种推理任务类型。</w:t>
      </w:r>
    </w:p>
    <w:p w14:paraId="22351391">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支持4K–128Ktokens的上下文长度配置，并支持流式推理输出。</w:t>
      </w:r>
    </w:p>
    <w:p w14:paraId="40EE780E">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文生图能力</w:t>
      </w:r>
    </w:p>
    <w:p w14:paraId="3087DFB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支持StableDiffusion、DALL·E、Midjourney等主流文生图模型。</w:t>
      </w:r>
    </w:p>
    <w:p w14:paraId="6CA91E00">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支持基于文本描述生成图片内容。</w:t>
      </w:r>
    </w:p>
    <w:p w14:paraId="1F3E607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支持风格控制能力，包括写实、动漫、油画、水彩等风格类型。</w:t>
      </w:r>
    </w:p>
    <w:p w14:paraId="21E6454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支持多种图像分辨率配置，覆盖512×512至1024×1024。</w:t>
      </w:r>
    </w:p>
    <w:p w14:paraId="556BA366">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图生视频能力</w:t>
      </w:r>
    </w:p>
    <w:p w14:paraId="75D8425C">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支持基于单张或多张图片生成视频内容。</w:t>
      </w:r>
    </w:p>
    <w:p w14:paraId="5D1E9239">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支持生成视频时长为2–60秒。</w:t>
      </w:r>
    </w:p>
    <w:p w14:paraId="02F97CB8">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支持720p、1080p分辨率，并支持24fps、30fps帧率输出。</w:t>
      </w:r>
    </w:p>
    <w:p w14:paraId="66F141BD">
      <w:pPr>
        <w:tabs>
          <w:tab w:val="left" w:pos="0"/>
        </w:tabs>
        <w:outlineLvl w:val="9"/>
        <w:rPr>
          <w:rFonts w:hint="eastAsia" w:ascii="宋体" w:hAnsi="宋体" w:eastAsia="宋体" w:cs="宋体"/>
          <w:b/>
          <w:bCs/>
          <w:sz w:val="22"/>
          <w:szCs w:val="22"/>
        </w:rPr>
      </w:pPr>
      <w:r>
        <w:rPr>
          <w:rFonts w:hint="eastAsia" w:ascii="宋体" w:hAnsi="宋体" w:eastAsia="宋体" w:cs="宋体"/>
          <w:b/>
          <w:bCs/>
          <w:sz w:val="22"/>
          <w:szCs w:val="22"/>
        </w:rPr>
        <w:t>文生视频能力</w:t>
      </w:r>
    </w:p>
    <w:p w14:paraId="77D747E5">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支持基于文本脚本生成视频内容。</w:t>
      </w:r>
    </w:p>
    <w:p w14:paraId="29227DC3">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支持AI自动生成视频分镜，并支持10–120秒的视频时长配置。</w:t>
      </w:r>
    </w:p>
    <w:p w14:paraId="2DA8D8E6">
      <w:pPr>
        <w:widowControl/>
        <w:numPr>
          <w:ilvl w:val="0"/>
          <w:numId w:val="2"/>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支持在生成视频中自动或手动添加背景音乐与字幕内容。</w:t>
      </w:r>
    </w:p>
    <w:p w14:paraId="60D13B94">
      <w:pPr>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br w:type="page"/>
      </w:r>
    </w:p>
    <w:p w14:paraId="225BCE43">
      <w:pPr>
        <w:ind w:firstLine="442" w:firstLineChars="200"/>
        <w:jc w:val="center"/>
        <w:outlineLvl w:val="0"/>
        <w:rPr>
          <w:rFonts w:hint="eastAsia" w:ascii="宋体" w:hAnsi="宋体" w:eastAsia="宋体" w:cs="宋体"/>
          <w:b/>
          <w:bCs/>
          <w:sz w:val="22"/>
          <w:szCs w:val="22"/>
        </w:rPr>
      </w:pPr>
      <w:bookmarkStart w:id="50" w:name="_Toc11174"/>
      <w:bookmarkStart w:id="51" w:name="_Toc3275"/>
      <w:r>
        <w:rPr>
          <w:rFonts w:hint="eastAsia" w:ascii="宋体" w:hAnsi="宋体" w:eastAsia="宋体" w:cs="宋体"/>
          <w:b/>
          <w:bCs/>
          <w:sz w:val="22"/>
          <w:szCs w:val="22"/>
          <w:lang w:val="en-US" w:eastAsia="zh-CN"/>
        </w:rPr>
        <w:t xml:space="preserve">第二项 </w:t>
      </w:r>
      <w:r>
        <w:rPr>
          <w:rFonts w:hint="eastAsia" w:ascii="宋体" w:hAnsi="宋体" w:eastAsia="宋体" w:cs="宋体"/>
          <w:b/>
          <w:bCs/>
          <w:sz w:val="22"/>
          <w:szCs w:val="22"/>
        </w:rPr>
        <w:t>【专业图谱体系搭建及智慧慕课资源建设服务】</w:t>
      </w:r>
      <w:bookmarkEnd w:id="50"/>
      <w:bookmarkEnd w:id="51"/>
    </w:p>
    <w:p w14:paraId="5273436E">
      <w:pPr>
        <w:numPr>
          <w:ilvl w:val="0"/>
          <w:numId w:val="6"/>
        </w:numPr>
        <w:ind w:left="0" w:leftChars="0" w:firstLine="0" w:firstLineChars="0"/>
        <w:outlineLvl w:val="1"/>
        <w:rPr>
          <w:rFonts w:hint="eastAsia" w:ascii="宋体" w:hAnsi="宋体" w:eastAsia="宋体" w:cs="宋体"/>
          <w:b/>
          <w:bCs/>
          <w:sz w:val="22"/>
          <w:szCs w:val="22"/>
        </w:rPr>
      </w:pPr>
      <w:bookmarkStart w:id="52" w:name="_Toc5741"/>
      <w:bookmarkStart w:id="53" w:name="_Toc2682"/>
      <w:r>
        <w:rPr>
          <w:rFonts w:hint="eastAsia" w:ascii="宋体" w:hAnsi="宋体" w:eastAsia="宋体" w:cs="宋体"/>
          <w:b/>
          <w:bCs/>
          <w:sz w:val="22"/>
          <w:szCs w:val="22"/>
        </w:rPr>
        <w:t>整体建设要求</w:t>
      </w:r>
      <w:bookmarkEnd w:id="52"/>
      <w:bookmarkEnd w:id="53"/>
    </w:p>
    <w:p w14:paraId="42B0B9D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本项目需建设2套专业图谱体系以及智慧慕课资源，每套含1个专业体系、4门智慧课程（单门课程建设不少于100个知识点，链接不少于300个教学资源）以及4门数字人慕课（单门课程建设不少于1个数字人形象及不少于300分钟的数字人视频资源）</w:t>
      </w:r>
    </w:p>
    <w:p w14:paraId="0327F8B8">
      <w:pPr>
        <w:numPr>
          <w:ilvl w:val="0"/>
          <w:numId w:val="7"/>
        </w:numPr>
        <w:ind w:left="0" w:firstLine="440" w:firstLineChars="200"/>
        <w:rPr>
          <w:rFonts w:hint="eastAsia" w:ascii="宋体" w:hAnsi="宋体" w:eastAsia="宋体" w:cs="宋体"/>
          <w:kern w:val="0"/>
          <w:sz w:val="22"/>
          <w:szCs w:val="22"/>
          <w:lang w:eastAsia="zh-Hans"/>
        </w:rPr>
      </w:pPr>
      <w:r>
        <w:rPr>
          <w:rFonts w:hint="eastAsia" w:ascii="宋体" w:hAnsi="宋体" w:eastAsia="宋体" w:cs="宋体"/>
          <w:kern w:val="0"/>
          <w:sz w:val="22"/>
          <w:szCs w:val="22"/>
        </w:rPr>
        <w:t>智慧慕课</w:t>
      </w:r>
      <w:r>
        <w:rPr>
          <w:rFonts w:hint="eastAsia" w:ascii="宋体" w:hAnsi="宋体" w:eastAsia="宋体" w:cs="宋体"/>
          <w:kern w:val="0"/>
          <w:sz w:val="22"/>
          <w:szCs w:val="22"/>
          <w:lang w:eastAsia="zh-Hans"/>
        </w:rPr>
        <w:t>建设规范要求</w:t>
      </w:r>
    </w:p>
    <w:p w14:paraId="34533B96">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①课程资源梳理：</w:t>
      </w:r>
      <w:r>
        <w:rPr>
          <w:rFonts w:hint="eastAsia" w:ascii="宋体" w:hAnsi="宋体" w:eastAsia="宋体" w:cs="宋体"/>
          <w:kern w:val="0"/>
          <w:sz w:val="22"/>
          <w:szCs w:val="22"/>
        </w:rPr>
        <w:t>供应商</w:t>
      </w:r>
      <w:r>
        <w:rPr>
          <w:rFonts w:hint="eastAsia" w:ascii="宋体" w:hAnsi="宋体" w:eastAsia="宋体" w:cs="宋体"/>
          <w:kern w:val="0"/>
          <w:sz w:val="22"/>
          <w:szCs w:val="22"/>
          <w:lang w:eastAsia="zh-Hans"/>
        </w:rPr>
        <w:t>需针对课程内容梳理各类教学资源，如视频、教学大纲、教案、课件、教材、说课视频、题库、思政点等其他资料，每门课程总资源挂载数量不少于</w:t>
      </w:r>
      <w:r>
        <w:rPr>
          <w:rFonts w:hint="eastAsia" w:ascii="宋体" w:hAnsi="宋体" w:eastAsia="宋体" w:cs="宋体"/>
          <w:kern w:val="0"/>
          <w:sz w:val="22"/>
          <w:szCs w:val="22"/>
        </w:rPr>
        <w:t>30</w:t>
      </w:r>
      <w:r>
        <w:rPr>
          <w:rFonts w:hint="eastAsia" w:ascii="宋体" w:hAnsi="宋体" w:eastAsia="宋体" w:cs="宋体"/>
          <w:kern w:val="0"/>
          <w:sz w:val="22"/>
          <w:szCs w:val="22"/>
          <w:lang w:eastAsia="zh-Hans"/>
        </w:rPr>
        <w:t>0个。</w:t>
      </w:r>
    </w:p>
    <w:p w14:paraId="3F103123">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②课程教学设计：</w:t>
      </w:r>
      <w:r>
        <w:rPr>
          <w:rFonts w:hint="eastAsia" w:ascii="宋体" w:hAnsi="宋体" w:eastAsia="宋体" w:cs="宋体"/>
          <w:kern w:val="0"/>
          <w:sz w:val="22"/>
          <w:szCs w:val="22"/>
        </w:rPr>
        <w:t>供应商</w:t>
      </w:r>
      <w:r>
        <w:rPr>
          <w:rFonts w:hint="eastAsia" w:ascii="宋体" w:hAnsi="宋体" w:eastAsia="宋体" w:cs="宋体"/>
          <w:kern w:val="0"/>
          <w:sz w:val="22"/>
          <w:szCs w:val="22"/>
          <w:lang w:eastAsia="zh-Hans"/>
        </w:rPr>
        <w:t>需了解课程背景、课程目标、课程特色、教学计划、课程知识逻辑、课程蓝图等，协助教师确定图谱建设思路，完成不少于1000字的课程教学设计方案。</w:t>
      </w:r>
    </w:p>
    <w:p w14:paraId="30A5BD00">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③</w:t>
      </w:r>
      <w:r>
        <w:rPr>
          <w:rFonts w:ascii="宋体" w:hAnsi="宋体" w:eastAsia="宋体" w:cs="宋体"/>
          <w:kern w:val="0"/>
          <w:sz w:val="22"/>
          <w:szCs w:val="22"/>
          <w:lang w:eastAsia="zh-Hans"/>
        </w:rPr>
        <w:t>知识图谱建设：供应商需梳理课程知识点，设置知识关系形成课程专属知识图谱，分类知识点（如重点、难点、案例、思政点等）、完善知识点信息、挂载教学资源、关联案例和题目。每个知识点挂载不少于3个教学资源，包含课程自有资源及平台提供的资源等。</w:t>
      </w:r>
    </w:p>
    <w:p w14:paraId="5F4F9ECD">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④</w:t>
      </w:r>
      <w:r>
        <w:rPr>
          <w:rFonts w:ascii="宋体" w:hAnsi="宋体" w:eastAsia="宋体" w:cs="宋体"/>
          <w:kern w:val="0"/>
          <w:sz w:val="22"/>
          <w:szCs w:val="22"/>
          <w:lang w:eastAsia="zh-Hans"/>
        </w:rPr>
        <w:t>问题图谱建设：供应商需建设</w:t>
      </w:r>
      <w:r>
        <w:rPr>
          <w:rFonts w:hint="eastAsia" w:ascii="宋体" w:hAnsi="宋体" w:eastAsia="宋体" w:cs="宋体"/>
          <w:kern w:val="0"/>
          <w:sz w:val="22"/>
          <w:szCs w:val="22"/>
          <w:lang w:eastAsia="zh-Hans"/>
        </w:rPr>
        <w:t>不少于</w:t>
      </w:r>
      <w:r>
        <w:rPr>
          <w:rFonts w:ascii="宋体" w:hAnsi="宋体" w:eastAsia="宋体" w:cs="宋体"/>
          <w:kern w:val="0"/>
          <w:sz w:val="22"/>
          <w:szCs w:val="22"/>
          <w:lang w:eastAsia="zh-Hans"/>
        </w:rPr>
        <w:t>3层问题体系、不少于30个问题的问题图谱，完成问题体系与知识点的衔接工作。</w:t>
      </w:r>
    </w:p>
    <w:p w14:paraId="46140AA3">
      <w:pPr>
        <w:widowControl/>
        <w:ind w:firstLine="42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⑤</w:t>
      </w:r>
      <w:r>
        <w:rPr>
          <w:rFonts w:ascii="宋体" w:hAnsi="宋体" w:eastAsia="宋体" w:cs="宋体"/>
          <w:kern w:val="0"/>
          <w:sz w:val="22"/>
          <w:szCs w:val="22"/>
          <w:lang w:eastAsia="zh-Hans"/>
        </w:rPr>
        <w:t>能力图谱建设：供应商需基于课程培养目标构建能力体系，实现能力、问题与知识点的三层衔接，每门课程能力体系需建设不少于4个能力要求。</w:t>
      </w:r>
    </w:p>
    <w:p w14:paraId="66892E2E">
      <w:pPr>
        <w:widowControl/>
        <w:ind w:firstLine="480"/>
        <w:jc w:val="left"/>
        <w:rPr>
          <w:rFonts w:hint="eastAsia" w:ascii="宋体" w:hAnsi="宋体" w:eastAsia="宋体" w:cs="宋体"/>
          <w:kern w:val="0"/>
          <w:sz w:val="22"/>
          <w:szCs w:val="22"/>
        </w:rPr>
      </w:pPr>
      <w:r>
        <w:rPr>
          <w:rFonts w:hint="eastAsia" w:ascii="宋体" w:hAnsi="宋体" w:eastAsia="宋体" w:cs="宋体"/>
          <w:kern w:val="0"/>
          <w:sz w:val="22"/>
          <w:szCs w:val="22"/>
          <w:lang w:eastAsia="zh-Hans"/>
        </w:rPr>
        <w:t>⑥</w:t>
      </w:r>
      <w:r>
        <w:rPr>
          <w:rFonts w:ascii="宋体" w:hAnsi="宋体" w:eastAsia="宋体" w:cs="宋体"/>
          <w:kern w:val="0"/>
          <w:sz w:val="22"/>
          <w:szCs w:val="22"/>
          <w:lang w:eastAsia="zh-Hans"/>
        </w:rPr>
        <w:t>数字人慕课建设：供应商需协助教师对课程知识点按照微课形式进行脚本设计，协助教师制作与课程相关的教学资源，包括电子教案、PPT</w:t>
      </w:r>
      <w:r>
        <w:rPr>
          <w:rFonts w:hint="eastAsia" w:ascii="宋体" w:hAnsi="宋体" w:eastAsia="宋体" w:cs="宋体"/>
          <w:kern w:val="0"/>
          <w:sz w:val="22"/>
          <w:szCs w:val="22"/>
          <w:lang w:eastAsia="zh-Hans"/>
        </w:rPr>
        <w:t>设计</w:t>
      </w:r>
      <w:r>
        <w:rPr>
          <w:rFonts w:ascii="宋体" w:hAnsi="宋体" w:eastAsia="宋体" w:cs="宋体"/>
          <w:kern w:val="0"/>
          <w:sz w:val="22"/>
          <w:szCs w:val="22"/>
          <w:lang w:eastAsia="zh-Hans"/>
        </w:rPr>
        <w:t>、微课视频、题</w:t>
      </w:r>
      <w:r>
        <w:rPr>
          <w:rFonts w:hint="eastAsia" w:ascii="宋体" w:hAnsi="宋体" w:eastAsia="宋体" w:cs="宋体"/>
          <w:kern w:val="0"/>
          <w:sz w:val="22"/>
          <w:szCs w:val="22"/>
          <w:lang w:eastAsia="zh-Hans"/>
        </w:rPr>
        <w:t>库</w:t>
      </w:r>
      <w:r>
        <w:rPr>
          <w:rFonts w:ascii="宋体" w:hAnsi="宋体" w:eastAsia="宋体" w:cs="宋体"/>
          <w:kern w:val="0"/>
          <w:sz w:val="22"/>
          <w:szCs w:val="22"/>
          <w:lang w:eastAsia="zh-Hans"/>
        </w:rPr>
        <w:t>等。</w:t>
      </w:r>
    </w:p>
    <w:p w14:paraId="0CCF4C2D">
      <w:pPr>
        <w:numPr>
          <w:ilvl w:val="0"/>
          <w:numId w:val="7"/>
        </w:numPr>
        <w:ind w:left="0"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合同签订后5个工作日内，供应商需组织课程建设启动会，针对每门课程</w:t>
      </w:r>
      <w:r>
        <w:rPr>
          <w:rFonts w:ascii="宋体" w:hAnsi="宋体" w:eastAsia="宋体" w:cs="宋体"/>
          <w:kern w:val="0"/>
          <w:sz w:val="22"/>
          <w:szCs w:val="22"/>
        </w:rPr>
        <w:t>开展不少于</w:t>
      </w:r>
      <w:r>
        <w:rPr>
          <w:rFonts w:hint="eastAsia" w:ascii="宋体" w:hAnsi="宋体" w:eastAsia="宋体" w:cs="宋体"/>
          <w:kern w:val="0"/>
          <w:sz w:val="22"/>
          <w:szCs w:val="22"/>
        </w:rPr>
        <w:t>3</w:t>
      </w:r>
      <w:r>
        <w:rPr>
          <w:rFonts w:ascii="宋体" w:hAnsi="宋体" w:eastAsia="宋体" w:cs="宋体"/>
          <w:kern w:val="0"/>
          <w:sz w:val="22"/>
          <w:szCs w:val="22"/>
        </w:rPr>
        <w:t>次的</w:t>
      </w:r>
      <w:r>
        <w:rPr>
          <w:rFonts w:hint="eastAsia" w:ascii="宋体" w:hAnsi="宋体" w:eastAsia="宋体" w:cs="宋体"/>
          <w:kern w:val="0"/>
          <w:sz w:val="22"/>
          <w:szCs w:val="22"/>
        </w:rPr>
        <w:t>进度</w:t>
      </w:r>
      <w:r>
        <w:rPr>
          <w:rFonts w:ascii="宋体" w:hAnsi="宋体" w:eastAsia="宋体" w:cs="宋体"/>
          <w:kern w:val="0"/>
          <w:sz w:val="22"/>
          <w:szCs w:val="22"/>
        </w:rPr>
        <w:t>汇报会</w:t>
      </w:r>
      <w:r>
        <w:rPr>
          <w:rFonts w:hint="eastAsia" w:ascii="宋体" w:hAnsi="宋体" w:eastAsia="宋体" w:cs="宋体"/>
          <w:kern w:val="0"/>
          <w:sz w:val="22"/>
          <w:szCs w:val="22"/>
        </w:rPr>
        <w:t>，以及</w:t>
      </w:r>
      <w:r>
        <w:rPr>
          <w:rFonts w:ascii="宋体" w:hAnsi="宋体" w:eastAsia="宋体" w:cs="宋体"/>
          <w:kern w:val="0"/>
          <w:sz w:val="22"/>
          <w:szCs w:val="22"/>
        </w:rPr>
        <w:t>不</w:t>
      </w:r>
      <w:r>
        <w:rPr>
          <w:rFonts w:hint="eastAsia" w:ascii="宋体" w:hAnsi="宋体" w:eastAsia="宋体" w:cs="宋体"/>
          <w:kern w:val="0"/>
          <w:sz w:val="22"/>
          <w:szCs w:val="22"/>
        </w:rPr>
        <w:t>少</w:t>
      </w:r>
      <w:r>
        <w:rPr>
          <w:rFonts w:ascii="宋体" w:hAnsi="宋体" w:eastAsia="宋体" w:cs="宋体"/>
          <w:kern w:val="0"/>
          <w:sz w:val="22"/>
          <w:szCs w:val="22"/>
        </w:rPr>
        <w:t>于2次</w:t>
      </w:r>
      <w:r>
        <w:rPr>
          <w:rFonts w:hint="eastAsia" w:ascii="宋体" w:hAnsi="宋体" w:eastAsia="宋体" w:cs="宋体"/>
          <w:kern w:val="0"/>
          <w:sz w:val="22"/>
          <w:szCs w:val="22"/>
        </w:rPr>
        <w:t>的课程建设、运行</w:t>
      </w:r>
      <w:r>
        <w:rPr>
          <w:rFonts w:ascii="宋体" w:hAnsi="宋体" w:eastAsia="宋体" w:cs="宋体"/>
          <w:kern w:val="0"/>
          <w:sz w:val="22"/>
          <w:szCs w:val="22"/>
        </w:rPr>
        <w:t>培训服务。会议与培训需形成</w:t>
      </w:r>
      <w:r>
        <w:rPr>
          <w:rFonts w:hint="eastAsia" w:ascii="宋体" w:hAnsi="宋体" w:eastAsia="宋体" w:cs="宋体"/>
          <w:kern w:val="0"/>
          <w:sz w:val="22"/>
          <w:szCs w:val="22"/>
        </w:rPr>
        <w:t>文字</w:t>
      </w:r>
      <w:r>
        <w:rPr>
          <w:rFonts w:ascii="宋体" w:hAnsi="宋体" w:eastAsia="宋体" w:cs="宋体"/>
          <w:kern w:val="0"/>
          <w:sz w:val="22"/>
          <w:szCs w:val="22"/>
        </w:rPr>
        <w:t>材料存档。</w:t>
      </w:r>
    </w:p>
    <w:p w14:paraId="5E9AE6A6">
      <w:pPr>
        <w:numPr>
          <w:ilvl w:val="0"/>
          <w:numId w:val="6"/>
        </w:numPr>
        <w:ind w:left="0" w:leftChars="0" w:firstLine="0" w:firstLineChars="0"/>
        <w:outlineLvl w:val="1"/>
        <w:rPr>
          <w:rFonts w:hint="eastAsia" w:ascii="宋体" w:hAnsi="宋体" w:eastAsia="宋体" w:cs="宋体"/>
          <w:b/>
          <w:bCs/>
          <w:sz w:val="22"/>
          <w:szCs w:val="22"/>
        </w:rPr>
      </w:pPr>
      <w:bookmarkStart w:id="54" w:name="_Toc16513"/>
      <w:bookmarkStart w:id="55" w:name="_Toc3720"/>
      <w:r>
        <w:rPr>
          <w:rFonts w:hint="eastAsia" w:ascii="宋体" w:hAnsi="宋体" w:eastAsia="宋体" w:cs="宋体"/>
          <w:b/>
          <w:bCs/>
          <w:sz w:val="22"/>
          <w:szCs w:val="22"/>
        </w:rPr>
        <w:t>专业图谱体系搭建</w:t>
      </w:r>
      <w:bookmarkEnd w:id="54"/>
      <w:bookmarkEnd w:id="55"/>
    </w:p>
    <w:p w14:paraId="35547211">
      <w:pPr>
        <w:numPr>
          <w:ilvl w:val="0"/>
          <w:numId w:val="8"/>
        </w:numPr>
        <w:ind w:left="-442" w:leftChars="0" w:firstLine="442" w:firstLineChars="0"/>
        <w:outlineLvl w:val="2"/>
        <w:rPr>
          <w:rFonts w:hint="eastAsia" w:ascii="宋体" w:hAnsi="宋体" w:eastAsia="宋体" w:cs="宋体"/>
          <w:b/>
          <w:bCs/>
          <w:sz w:val="22"/>
          <w:szCs w:val="22"/>
        </w:rPr>
      </w:pPr>
      <w:bookmarkStart w:id="56" w:name="_Toc11350"/>
      <w:bookmarkStart w:id="57" w:name="_Toc27809"/>
      <w:r>
        <w:rPr>
          <w:rFonts w:hint="eastAsia" w:ascii="宋体" w:hAnsi="宋体" w:eastAsia="宋体" w:cs="宋体"/>
          <w:b/>
          <w:bCs/>
          <w:sz w:val="22"/>
          <w:szCs w:val="22"/>
        </w:rPr>
        <w:t>专业体系建设</w:t>
      </w:r>
      <w:bookmarkEnd w:id="56"/>
      <w:bookmarkEnd w:id="57"/>
    </w:p>
    <w:p w14:paraId="2848E299">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专业图谱定制化主页门户：支持专业图谱定制化主页展示、专业课程体系入口展示与点击跳转、专业图谱建设数据成果展示，包括专业课程类别数据、专业分析对比数据、图谱成果汇总。</w:t>
      </w:r>
    </w:p>
    <w:p w14:paraId="64A3315D">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展示专业下所有课程：在一个全局页面中展示专业下全部课程，并且课程可以分类显示，如通识课、专业基础课、专业核心课等。可以进行学期筛选。可以展示课程建设成果，如一流课程，思政示范课等。</w:t>
      </w:r>
    </w:p>
    <w:p w14:paraId="2CDF939F">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总览时，通过可视化的分层展示，了解专业下每个层级建设联系；预览时，只关注专业与课程的关系；明确课程后，显示课程与知识的联系。</w:t>
      </w:r>
    </w:p>
    <w:p w14:paraId="50495E2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实践项目分类与展示：可以上传并展示专业实践项目，包括项目名称、项目背景、项目目标、实施方案、关键技术和预期成果等信息。可以按项目类型进行分类展示。可以提供实践项目库网页链接，支持链接跳转进入。</w:t>
      </w:r>
    </w:p>
    <w:p w14:paraId="7AD0647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产业动态信息更新：可以定期收集并整理产业最新动态，并按照行业、地域、时间等维度对动态信息进行分类。每条动态附带时间及来源链接，支持跳转至原文页面。能够对科研论文进行深入分析，提炼出学术热词和关键信息。</w:t>
      </w:r>
    </w:p>
    <w:p w14:paraId="54353C4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▲科研趋势追踪：可以展示科研领域的热点分布和趋势变化。根据论文引用量、下载量以及用户关注度等指标，实时更新并列出当前科研领域的热点排行。排行中的每个热点都附有描述和相关信息。</w:t>
      </w:r>
      <w:r>
        <w:rPr>
          <w:rFonts w:hint="eastAsia" w:ascii="宋体" w:hAnsi="宋体" w:eastAsia="宋体" w:cs="宋体"/>
          <w:b/>
          <w:bCs/>
          <w:sz w:val="22"/>
          <w:szCs w:val="22"/>
        </w:rPr>
        <w:t>（提供所投真实产品的功能截图证明材料并加盖供应商公章）</w:t>
      </w:r>
    </w:p>
    <w:p w14:paraId="4C6E367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行业招聘信息整合：可以定期收集并整理行业内的招聘信息，支持根据企业名称、地区、行业定向搜索招聘信息。</w:t>
      </w:r>
    </w:p>
    <w:p w14:paraId="68AE64FD">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师资团队介绍：介绍专业师资团队的教育背景、研究方向、科研成果和教学经验，展现专业师资力量。</w:t>
      </w:r>
    </w:p>
    <w:p w14:paraId="08CB710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总览六维培养方案矩阵：可在系统中预览六维培养方案矩阵模型，矩阵内容包含培养目标、毕业要求、课程体系、能力图谱、问题图谱、知识图谱等层级。通过专业图谱建设，各层级间产生关联。</w:t>
      </w:r>
    </w:p>
    <w:p w14:paraId="3583C9B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矩阵内容关联路径：教师选择矩阵中任意内容后，系统会自动标记出有关联的六维路径，包含培养目标、毕业要求、课程名称、关联能力、关联问题与关联知识，并且通过关联路径表示强/中/弱等关系。</w:t>
      </w:r>
    </w:p>
    <w:p w14:paraId="5DF9F6F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专业课程体系详情：教师点击课程模块后可观看课程体系详情，详情包含：课程关联的毕业要求数量、关联的能力数量、关联的问题数量、当前课程关联的毕业要求详情、当前课程关联的培养目标详情，并支持跳转查看课程详情。</w:t>
      </w:r>
    </w:p>
    <w:p w14:paraId="0C08D26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课程清单支持多类型课程，课程类型包含：本平台课程、第三方平台课程、知识图谱课程等。支持课程模块展示课程介绍信息，包含课程名称、课程类型、课程开课学院、课程团队老师等。</w:t>
      </w:r>
    </w:p>
    <w:p w14:paraId="6304FB6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可以查看第三方课程详情，点击第三方平台课程，可查看课程名称、课程开课学校、课程开课老师、课程来源、课程简介、课程封面、课程目录结构，其中课程来源包括但不限于国内主流平台。支持第三方课程的课程大纲至少显示2级结构。</w:t>
      </w:r>
    </w:p>
    <w:p w14:paraId="60AB102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lang w:bidi="ar"/>
        </w:rPr>
        <w:t>进入课程中对知识点内容查看知识点画像：进入到知识点内容中关联知识图谱画像，画像包含知识点名称、关联的知识点、知识点关系、知识点学习顺序等内容，关联知识点可支持至少60个，知识点可随时移动拖拽，调整位置。</w:t>
      </w:r>
    </w:p>
    <w:p w14:paraId="35B72CD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lang w:bidi="ar"/>
        </w:rPr>
        <w:t>可以查看专业下知识点详情：点击知识点可查看知识点详情内容，包括知识点简介、知识点基本信息、知识点关系（需包含关联维度、关系名称、相关知识点）、知识点资源（资源类型需包含：MP4、MP3、PDF、JPG、PNG、GIF、DOCX、XLSX、PPTX格式），支持点击关联知识点跳转到对应知识点进行学习。</w:t>
      </w:r>
    </w:p>
    <w:p w14:paraId="37344A7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lang w:bidi="ar"/>
        </w:rPr>
        <w:t>可以查看知识点资源详情：点击知识点资源可查看资源详情，至少包括资源名称、预览工具、资源类型等。知识点资源只显示与知识点相关的资源片段，精确到PDF中的行数、PPT中的页数、视频中的时间与新形态教材。</w:t>
      </w:r>
    </w:p>
    <w:p w14:paraId="2A85F16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多元化资源集成库：可以上传并集成视频教程、技术文档、行业报告、案例研究等多种形式的资源。可以按行业领域、技术类型对案例进行分类，并设置标签，方便用户快速检索相关案例。</w:t>
      </w:r>
    </w:p>
    <w:p w14:paraId="5F33ED2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构建专业图谱问题体系以及AI对全网相关的问题进行检索收集，</w:t>
      </w:r>
      <w:r>
        <w:rPr>
          <w:rFonts w:ascii="宋体" w:hAnsi="宋体" w:eastAsia="宋体" w:cs="宋体"/>
          <w:sz w:val="22"/>
          <w:szCs w:val="22"/>
        </w:rPr>
        <w:t>以问题列表呈现</w:t>
      </w:r>
      <w:r>
        <w:rPr>
          <w:rFonts w:hint="eastAsia" w:ascii="宋体" w:hAnsi="宋体" w:eastAsia="宋体" w:cs="宋体"/>
          <w:sz w:val="22"/>
          <w:szCs w:val="22"/>
        </w:rPr>
        <w:t>并推荐给用户。支持问题列表中包含问题的名称、来源、简介等相关信息。支持展示问题体系问题详情，包含问题名称、答案来源、包含的问题、问题答案中所关联的知识点以及该问题所关联的能力体系。问题答案支持至少3层关联能力体系展示。</w:t>
      </w:r>
    </w:p>
    <w:p w14:paraId="1A67952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问题答案中的知识点支持点击可跳转到对应图谱中进行学习。问题答案中支持通过导航栏快速定位每个问题的分解问题。</w:t>
      </w:r>
    </w:p>
    <w:p w14:paraId="4B0B0478">
      <w:pPr>
        <w:numPr>
          <w:ilvl w:val="0"/>
          <w:numId w:val="8"/>
        </w:numPr>
        <w:ind w:left="-442" w:leftChars="0" w:firstLine="442" w:firstLineChars="0"/>
        <w:outlineLvl w:val="2"/>
        <w:rPr>
          <w:rFonts w:hint="eastAsia" w:ascii="宋体" w:hAnsi="宋体" w:eastAsia="宋体" w:cs="宋体"/>
          <w:b/>
          <w:bCs/>
          <w:sz w:val="22"/>
          <w:szCs w:val="22"/>
        </w:rPr>
      </w:pPr>
      <w:bookmarkStart w:id="58" w:name="_Toc28365"/>
      <w:bookmarkStart w:id="59" w:name="_Toc11980"/>
      <w:r>
        <w:rPr>
          <w:rFonts w:hint="eastAsia" w:ascii="宋体" w:hAnsi="宋体" w:eastAsia="宋体" w:cs="宋体"/>
          <w:b/>
          <w:bCs/>
          <w:sz w:val="22"/>
          <w:szCs w:val="22"/>
        </w:rPr>
        <w:t>专业分析中心建设</w:t>
      </w:r>
      <w:bookmarkEnd w:id="58"/>
      <w:bookmarkEnd w:id="59"/>
    </w:p>
    <w:p w14:paraId="531B727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支持基于学校人才培养体系进行方案调研分析，分析包含培养目标与规格、课程设置与结构、教学资源与设施、师资队伍与科研等方向进行详细分析。</w:t>
      </w:r>
    </w:p>
    <w:p w14:paraId="58B678D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间的人才培养方案培养目标与规格分析：支持针对专业简介进行详细分析，其中调研方法至少包含文献资料法、对比分析法，同时可针对专业资料进行关键词分析，分析内容包含专业标准评估、专业特色、学校地理位置、学校历史背景、教学资源与设施、师资队伍与科研能力，在分析过程中AI技术须对内容进行分析结论，并详细展示不同培养方案间的具体差别，并给予详细资料数据来源，培养目标分析时需针对培养方案的版本进行有效甄别，同时分析国家办学总体目标、专业目标和学校实际特色内容、行业岗位搜索，对比过程中需包含专业共同点与差异点，同时针对毕业要求，通过国家办学总体目标进行对比分析，列举不同毕业要求的具体详情与内容。</w:t>
      </w:r>
    </w:p>
    <w:p w14:paraId="2BB2A99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间的专业课程设置与结构进行分析：分析范围包含课程模块分析、课程类别分析，其中课程类别需包含公共教育课程、专业基础课程、专业教育课程、实践教育课程、个性化发展课程、通识教育课程等，并通过图表对数据进行详细分析，给予不同课程间的相似关系，相似关系支持一对一或者一对多关系，并由AI大模型对课程类型对比结果进行总结。</w:t>
      </w:r>
      <w:r>
        <w:rPr>
          <w:rFonts w:hint="eastAsia" w:ascii="宋体" w:hAnsi="宋体" w:eastAsia="宋体" w:cs="宋体"/>
          <w:b/>
          <w:bCs/>
          <w:sz w:val="22"/>
          <w:szCs w:val="22"/>
        </w:rPr>
        <w:t>（提供所投真实产品的功能截图证明材料并加盖供应商公章）</w:t>
      </w:r>
    </w:p>
    <w:p w14:paraId="22CCFA6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间教学资源与设施进行分析：分析结果包含不同专业的教学资源设施总结归纳、不同专业间的教学资源与设施对比分析，通过数据图表与文字总结直观展示，并针对国家级平台与课程建设详细数据、省级实验教学示范中心详细数据、省重点实验室与科研条件详细数据进行全方位的差异化介绍与总结。</w:t>
      </w:r>
    </w:p>
    <w:p w14:paraId="0E58FD7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支持专业下知识点汇总分析：通过相似和跨课程关联来统计专业下课程知识点的关联性，汇总专业下全部的相似知识点数量和跨课程关联的知识点数量。</w:t>
      </w:r>
    </w:p>
    <w:p w14:paraId="5C42D9F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不同分类下的知识点关系：支持筛选不同课程类别进行专业下课程交叉知识点分析，如通识类课程，专业基础课程，专业核心课程等，根据所筛选的类型分别统计该分类下相似知识点和跨课程关联知识点排名前三的两门课程极其相似或相关的知识点数量。</w:t>
      </w:r>
    </w:p>
    <w:p w14:paraId="7900A7E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支持课程多维度交叉汇总分析：以图表形式直观展示专业下课程知识点的关联度，通过连接线将有关系的课程联系起来，点击线条可查看两门课的关联度和相似知识点数量。</w:t>
      </w:r>
    </w:p>
    <w:p w14:paraId="715E00F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单个课程交叉分析：从某门课程维度查看该课程与专业下其他课程的关系表，支持展示关系排名，支持从相似知识点维度统计本课程与其他课程的相似详情，支持从跨课程关联维度统计本课程与其他课程的关联详情。</w:t>
      </w:r>
    </w:p>
    <w:p w14:paraId="2C3876A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交叉分析详情：分析专业内任意两门课程的详细知识点关联，形成可视化的关系网络。并且汇总统计两门课的实际相似知识点数量、跨课关联知识点数量，关联关系支持自定义，不同课程可根据实际情况进行关系链接。点击关联知识点后，可看到知识点交叉路径。</w:t>
      </w:r>
    </w:p>
    <w:p w14:paraId="77DC227B">
      <w:pPr>
        <w:numPr>
          <w:ilvl w:val="0"/>
          <w:numId w:val="8"/>
        </w:numPr>
        <w:ind w:left="-442" w:leftChars="0" w:firstLine="442" w:firstLineChars="0"/>
        <w:outlineLvl w:val="2"/>
        <w:rPr>
          <w:rFonts w:hint="eastAsia" w:ascii="宋体" w:hAnsi="宋体" w:eastAsia="宋体" w:cs="宋体"/>
          <w:b/>
          <w:bCs/>
          <w:sz w:val="22"/>
          <w:szCs w:val="22"/>
        </w:rPr>
      </w:pPr>
      <w:bookmarkStart w:id="60" w:name="_Toc18035"/>
      <w:bookmarkStart w:id="61" w:name="_Toc980"/>
      <w:r>
        <w:rPr>
          <w:rFonts w:hint="eastAsia" w:ascii="宋体" w:hAnsi="宋体" w:eastAsia="宋体" w:cs="宋体"/>
          <w:b/>
          <w:bCs/>
          <w:sz w:val="22"/>
          <w:szCs w:val="22"/>
        </w:rPr>
        <w:t>专业AI应用建设</w:t>
      </w:r>
      <w:bookmarkEnd w:id="60"/>
      <w:bookmarkEnd w:id="61"/>
    </w:p>
    <w:p w14:paraId="7493EA5E">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支持交互式对话操作：用户可以在对话交互界面中输入问题以开展咨询活动。支持设置常见问题快捷按钮，能够迅速发起咨询流程。</w:t>
      </w:r>
    </w:p>
    <w:p w14:paraId="4C2A416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支持深度思考模式切换：</w:t>
      </w:r>
      <w:r>
        <w:rPr>
          <w:rFonts w:hint="eastAsia" w:ascii="宋体" w:hAnsi="宋体" w:eastAsia="宋体" w:cs="宋体"/>
          <w:sz w:val="22"/>
          <w:szCs w:val="22"/>
          <w:lang w:eastAsia="zh-CN"/>
        </w:rPr>
        <w:t>用户</w:t>
      </w:r>
      <w:r>
        <w:rPr>
          <w:rFonts w:hint="eastAsia" w:ascii="宋体" w:hAnsi="宋体" w:eastAsia="宋体" w:cs="宋体"/>
          <w:sz w:val="22"/>
          <w:szCs w:val="22"/>
        </w:rPr>
        <w:t>可以对“深度思考”开关进行开启或关闭操作。当处于开启状态时，系统将调用算法或模型，为教师输出更全面的专业问题解答内容，满足师生对于专业知识深度探究的需求。</w:t>
      </w:r>
    </w:p>
    <w:p w14:paraId="384A51E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支持多智能体应用与创建：提供多种专业智能体，应对学习、教学、实验等差异化场景。支持教师创建新的智能体，以契合个性化的特定需求，并可对智能体进行分类展示和搜索。</w:t>
      </w:r>
    </w:p>
    <w:p w14:paraId="4B5F15F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专业知识库资源管理与查看：可以查看专业知识库的资源概况，涵盖文件解析（包括教材书籍、教学视频等）、专业数据（涉及知识点及知识点间关系）、字符解析、图片提取、音视频时长等统计数据。支持按照专业总资源、专业课程资源、专业特色资源等类别进行分类查看，清晰展示不同类型文件资源的数量、大小以及更新时间等信息。</w:t>
      </w:r>
    </w:p>
    <w:p w14:paraId="4AC5620E">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支持指令中心便捷提问：可以通过“新建指令”自定义问题，并可对指令进行分类展示，快速定位并找到预设指令提问。</w:t>
      </w:r>
    </w:p>
    <w:p w14:paraId="1893202E">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支持个性化学习服务：支持通过不同功能定位的智能体以及知识库资源，为不同身份的用户提供个性化学习支持服务，精准适配在学习、教学、研究等方面的需求。</w:t>
      </w:r>
    </w:p>
    <w:p w14:paraId="4AE65564">
      <w:pPr>
        <w:numPr>
          <w:ilvl w:val="0"/>
          <w:numId w:val="6"/>
        </w:numPr>
        <w:ind w:left="0" w:leftChars="0" w:firstLine="0" w:firstLineChars="0"/>
        <w:outlineLvl w:val="1"/>
        <w:rPr>
          <w:rFonts w:hint="eastAsia" w:ascii="宋体" w:hAnsi="宋体" w:eastAsia="宋体" w:cs="宋体"/>
          <w:b/>
          <w:bCs/>
          <w:sz w:val="22"/>
          <w:szCs w:val="22"/>
        </w:rPr>
      </w:pPr>
      <w:bookmarkStart w:id="62" w:name="_Toc3986"/>
      <w:bookmarkStart w:id="63" w:name="_Toc24401"/>
      <w:r>
        <w:rPr>
          <w:rFonts w:hint="eastAsia" w:ascii="宋体" w:hAnsi="宋体" w:eastAsia="宋体" w:cs="宋体"/>
          <w:b/>
          <w:bCs/>
          <w:sz w:val="22"/>
          <w:szCs w:val="22"/>
        </w:rPr>
        <w:t>智慧课程建设</w:t>
      </w:r>
      <w:bookmarkEnd w:id="62"/>
      <w:bookmarkEnd w:id="63"/>
    </w:p>
    <w:p w14:paraId="50143AC9">
      <w:pPr>
        <w:numPr>
          <w:ilvl w:val="0"/>
          <w:numId w:val="9"/>
        </w:numPr>
        <w:ind w:left="-442" w:leftChars="0" w:firstLine="442" w:firstLineChars="0"/>
        <w:outlineLvl w:val="2"/>
        <w:rPr>
          <w:rFonts w:hint="eastAsia" w:ascii="宋体" w:hAnsi="宋体" w:eastAsia="宋体" w:cs="宋体"/>
          <w:b/>
          <w:bCs/>
          <w:sz w:val="22"/>
          <w:szCs w:val="22"/>
        </w:rPr>
      </w:pPr>
      <w:bookmarkStart w:id="64" w:name="_Toc31852"/>
      <w:bookmarkStart w:id="65" w:name="_Toc30096"/>
      <w:r>
        <w:rPr>
          <w:rFonts w:hint="eastAsia" w:ascii="宋体" w:hAnsi="宋体" w:eastAsia="宋体" w:cs="宋体"/>
          <w:b/>
          <w:bCs/>
          <w:sz w:val="22"/>
          <w:szCs w:val="22"/>
        </w:rPr>
        <w:t>课程设计服务</w:t>
      </w:r>
      <w:bookmarkEnd w:id="64"/>
      <w:bookmarkEnd w:id="65"/>
    </w:p>
    <w:p w14:paraId="1F48BAA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供应商需和</w:t>
      </w:r>
      <w:r>
        <w:rPr>
          <w:rFonts w:ascii="宋体" w:hAnsi="宋体" w:eastAsia="宋体" w:cs="宋体"/>
          <w:sz w:val="22"/>
          <w:szCs w:val="22"/>
        </w:rPr>
        <w:t>课程</w:t>
      </w:r>
      <w:r>
        <w:rPr>
          <w:rFonts w:hint="eastAsia" w:ascii="宋体" w:hAnsi="宋体" w:eastAsia="宋体" w:cs="宋体"/>
          <w:sz w:val="22"/>
          <w:szCs w:val="22"/>
        </w:rPr>
        <w:t>教学团队</w:t>
      </w:r>
      <w:r>
        <w:rPr>
          <w:rFonts w:ascii="宋体" w:hAnsi="宋体" w:eastAsia="宋体" w:cs="宋体"/>
          <w:sz w:val="22"/>
          <w:szCs w:val="22"/>
        </w:rPr>
        <w:t>结合学校办学情况、学生基础及人才培养要求，明确课程定位，梳理课程</w:t>
      </w:r>
      <w:r>
        <w:rPr>
          <w:rFonts w:hint="eastAsia" w:ascii="宋体" w:hAnsi="宋体" w:eastAsia="宋体" w:cs="宋体"/>
          <w:sz w:val="22"/>
          <w:szCs w:val="22"/>
        </w:rPr>
        <w:t>痛</w:t>
      </w:r>
      <w:r>
        <w:rPr>
          <w:rFonts w:ascii="宋体" w:hAnsi="宋体" w:eastAsia="宋体" w:cs="宋体"/>
          <w:sz w:val="22"/>
          <w:szCs w:val="22"/>
        </w:rPr>
        <w:t>点与创新特色</w:t>
      </w:r>
      <w:r>
        <w:rPr>
          <w:rFonts w:hint="eastAsia" w:ascii="宋体" w:hAnsi="宋体" w:eastAsia="宋体" w:cs="宋体"/>
          <w:sz w:val="22"/>
          <w:szCs w:val="22"/>
        </w:rPr>
        <w:t>、</w:t>
      </w:r>
      <w:r>
        <w:rPr>
          <w:rFonts w:ascii="宋体" w:hAnsi="宋体" w:eastAsia="宋体" w:cs="宋体"/>
          <w:sz w:val="22"/>
          <w:szCs w:val="22"/>
        </w:rPr>
        <w:t>分析现有课程、给出优化建议，</w:t>
      </w:r>
      <w:r>
        <w:rPr>
          <w:rFonts w:hint="eastAsia" w:ascii="宋体" w:hAnsi="宋体" w:eastAsia="宋体" w:cs="宋体"/>
          <w:sz w:val="22"/>
          <w:szCs w:val="22"/>
        </w:rPr>
        <w:t>进行</w:t>
      </w:r>
      <w:r>
        <w:rPr>
          <w:rFonts w:ascii="宋体" w:hAnsi="宋体" w:eastAsia="宋体" w:cs="宋体"/>
          <w:sz w:val="22"/>
          <w:szCs w:val="22"/>
        </w:rPr>
        <w:t>课程知识点</w:t>
      </w:r>
      <w:r>
        <w:rPr>
          <w:rFonts w:hint="eastAsia" w:ascii="宋体" w:hAnsi="宋体" w:eastAsia="宋体" w:cs="宋体"/>
          <w:sz w:val="22"/>
          <w:szCs w:val="22"/>
        </w:rPr>
        <w:t>提取和设计沟通</w:t>
      </w:r>
      <w:r>
        <w:rPr>
          <w:rFonts w:ascii="宋体" w:hAnsi="宋体" w:eastAsia="宋体" w:cs="宋体"/>
          <w:sz w:val="22"/>
          <w:szCs w:val="22"/>
        </w:rPr>
        <w:t>，</w:t>
      </w:r>
      <w:r>
        <w:rPr>
          <w:rFonts w:hint="eastAsia" w:ascii="宋体" w:hAnsi="宋体" w:eastAsia="宋体" w:cs="宋体"/>
          <w:sz w:val="22"/>
          <w:szCs w:val="22"/>
        </w:rPr>
        <w:t>课程</w:t>
      </w:r>
      <w:r>
        <w:rPr>
          <w:rFonts w:ascii="宋体" w:hAnsi="宋体" w:eastAsia="宋体" w:cs="宋体"/>
          <w:sz w:val="22"/>
          <w:szCs w:val="22"/>
        </w:rPr>
        <w:t>内容</w:t>
      </w:r>
      <w:r>
        <w:rPr>
          <w:rFonts w:hint="eastAsia" w:ascii="宋体" w:hAnsi="宋体" w:eastAsia="宋体" w:cs="宋体"/>
          <w:sz w:val="22"/>
          <w:szCs w:val="22"/>
        </w:rPr>
        <w:t>需</w:t>
      </w:r>
      <w:r>
        <w:rPr>
          <w:rFonts w:ascii="宋体" w:hAnsi="宋体" w:eastAsia="宋体" w:cs="宋体"/>
          <w:sz w:val="22"/>
          <w:szCs w:val="22"/>
        </w:rPr>
        <w:t>符合意识形态。</w:t>
      </w:r>
    </w:p>
    <w:p w14:paraId="798921F7">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供应商需配备专业的课程设计顾问提供课程建设服务，由课程设计顾问根据老师提供或所需的资源清单进行整理搜寻，根据资源进行知识、问题、能力图谱的构建，知识点资源的挂载，知识点题目的挂载，知识点类型标注等所有内容建设，并根据老师的审核意见进行修改，教师可以使用最终交付的课程直接投入教学运行。</w:t>
      </w:r>
    </w:p>
    <w:p w14:paraId="4B24AE91">
      <w:pPr>
        <w:numPr>
          <w:ilvl w:val="0"/>
          <w:numId w:val="9"/>
        </w:numPr>
        <w:ind w:left="-442" w:leftChars="0" w:firstLine="442" w:firstLineChars="0"/>
        <w:outlineLvl w:val="2"/>
        <w:rPr>
          <w:rFonts w:hint="eastAsia" w:ascii="宋体" w:hAnsi="宋体" w:eastAsia="宋体" w:cs="宋体"/>
          <w:b/>
          <w:bCs/>
          <w:sz w:val="22"/>
          <w:szCs w:val="22"/>
        </w:rPr>
      </w:pPr>
      <w:bookmarkStart w:id="66" w:name="_Toc29678"/>
      <w:bookmarkStart w:id="67" w:name="_Toc20321"/>
      <w:r>
        <w:rPr>
          <w:rFonts w:hint="eastAsia" w:ascii="宋体" w:hAnsi="宋体" w:eastAsia="宋体" w:cs="宋体"/>
          <w:b/>
          <w:bCs/>
          <w:sz w:val="22"/>
          <w:szCs w:val="22"/>
        </w:rPr>
        <w:t>课程门户模块建设</w:t>
      </w:r>
      <w:bookmarkEnd w:id="66"/>
      <w:bookmarkEnd w:id="67"/>
    </w:p>
    <w:p w14:paraId="2F9510AE">
      <w:pPr>
        <w:numPr>
          <w:ilvl w:val="0"/>
          <w:numId w:val="7"/>
        </w:numPr>
        <w:ind w:left="0" w:firstLine="440" w:firstLineChars="200"/>
        <w:rPr>
          <w:rFonts w:hint="eastAsia" w:ascii="宋体" w:hAnsi="宋体" w:eastAsia="宋体" w:cs="宋体"/>
          <w:sz w:val="22"/>
          <w:szCs w:val="22"/>
        </w:rPr>
      </w:pPr>
      <w:r>
        <w:rPr>
          <w:rFonts w:ascii="宋体" w:hAnsi="宋体" w:eastAsia="宋体" w:cs="宋体"/>
          <w:sz w:val="22"/>
          <w:szCs w:val="22"/>
        </w:rPr>
        <w:t>智慧课程展示：支持平台智慧课程全公开，为全校平台用户展示已建设智慧课程概况，并可通过后台发布设置指定对应的用户/用户群浏览</w:t>
      </w:r>
      <w:r>
        <w:rPr>
          <w:rFonts w:hint="eastAsia" w:ascii="宋体" w:hAnsi="宋体" w:eastAsia="宋体" w:cs="宋体"/>
          <w:sz w:val="22"/>
          <w:szCs w:val="22"/>
        </w:rPr>
        <w:t>课程</w:t>
      </w:r>
      <w:r>
        <w:rPr>
          <w:rFonts w:ascii="宋体" w:hAnsi="宋体" w:eastAsia="宋体" w:cs="宋体"/>
          <w:sz w:val="22"/>
          <w:szCs w:val="22"/>
        </w:rPr>
        <w:t>详情内容。</w:t>
      </w:r>
    </w:p>
    <w:p w14:paraId="1CD8C6F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支持课程体系展示：支持四维课程体系静态展示形式，展示包含教学资源、知识体系、问题体系、能力体系等数据。</w:t>
      </w:r>
    </w:p>
    <w:p w14:paraId="7D52248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课程基本信息模块：至少包括负责教师、开课学校、说课视频、课程封面、课程简介。说课视频支持MP3、MP4等主流视频格式，课程封面支持上传jpg、png等主流图片格式，课程简介字数上限不低于5000字。</w:t>
      </w:r>
    </w:p>
    <w:p w14:paraId="2C0E09B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建设详情模块：至少包括教师团队、课程背景、课程简介、课程目标、课程特色、课程知识逻辑、课程知识结构图、教学计划。知识结构图以图片展示，图片支持jpg、png等主流图片格式。教学计划包括主题名称及学时、课程学分及学时。</w:t>
      </w:r>
    </w:p>
    <w:p w14:paraId="0D81E2F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课程设计模块：至少包括课程体系、课程结构、课程框架、课程知识模块，可实现按模板导入进行新增和维护。课程框架包含课程主题名称、教学内容、教学重点、教学难点等信息。</w:t>
      </w:r>
    </w:p>
    <w:p w14:paraId="7D6541FE">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根据课程教学团队自动生成虚拟教研室，虚拟教研室中包含虚拟教研活动介绍与详情、虚拟教研室成员、虚拟教研室牵头单位与虚拟教研室负责老师。支持根据虚拟教研室教研活动，生成过程化虚拟教研记录。成员详情需要包含成员头像、姓名、简介、职称等。</w:t>
      </w:r>
    </w:p>
    <w:p w14:paraId="14B7A5C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根据课程建设成果，生成课程成果相册，相册内容包含：课程体系、课程框架、课程地图、课程图谱等。</w:t>
      </w:r>
    </w:p>
    <w:p w14:paraId="5A9FAB0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课程视频模块：至少包括课程章节大纲、章节简介以及教学计划，含有知识点的视频章节需关联对应的知识点。除了便于观看视频，支持点击可查看知识点详情。</w:t>
      </w:r>
    </w:p>
    <w:p w14:paraId="21BEA1E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展示课程教学定位，教学定位信息包含：课程类别、适用专业、先修课程、后续课程等。展示课程的教学逻辑关系图，显示目标课程的前后序课程学习关系。</w:t>
      </w:r>
    </w:p>
    <w:p w14:paraId="412236C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统计课程的详细建设与教学数据：包含知识模块建设数量、知识点总数、知识节点总数、知识教案总数、能力目标总数、问题总数、教学资源数量与外部引用资源数量。</w:t>
      </w:r>
    </w:p>
    <w:p w14:paraId="3CEF8CC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统计课程的访问量总数，可对比同期数据，获取近期访客详细数据。</w:t>
      </w:r>
    </w:p>
    <w:p w14:paraId="550000E6">
      <w:pPr>
        <w:numPr>
          <w:ilvl w:val="0"/>
          <w:numId w:val="9"/>
        </w:numPr>
        <w:ind w:left="-442" w:leftChars="0" w:firstLine="442" w:firstLineChars="0"/>
        <w:outlineLvl w:val="2"/>
        <w:rPr>
          <w:rFonts w:hint="eastAsia" w:ascii="宋体" w:hAnsi="宋体" w:eastAsia="宋体" w:cs="宋体"/>
          <w:sz w:val="22"/>
          <w:szCs w:val="22"/>
        </w:rPr>
      </w:pPr>
      <w:bookmarkStart w:id="68" w:name="_Toc26674"/>
      <w:bookmarkStart w:id="69" w:name="_Toc20268"/>
      <w:r>
        <w:rPr>
          <w:rFonts w:hint="eastAsia" w:ascii="宋体" w:hAnsi="宋体" w:eastAsia="宋体" w:cs="宋体"/>
          <w:b/>
          <w:bCs/>
          <w:sz w:val="22"/>
          <w:szCs w:val="22"/>
        </w:rPr>
        <w:t>知识图谱构建要求</w:t>
      </w:r>
      <w:bookmarkEnd w:id="68"/>
      <w:bookmarkEnd w:id="69"/>
    </w:p>
    <w:p w14:paraId="032290E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地图详情，对知识地图上的知识点进行添加、删除、编辑资源、设置标签，可以添加同级节点、子节点。可以按XMind格式模板导入知识地图的节点信息，包括节点名称、标签、难度、描述，模板文件大小支持1G以上，节点数量支持10000以上。</w:t>
      </w:r>
    </w:p>
    <w:p w14:paraId="6579D94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支持编辑知识点基本信息，包括名称、认知目标、难度、描述，难度值需设置至少简单、一般、困难三档。</w:t>
      </w:r>
    </w:p>
    <w:p w14:paraId="5B2B8A2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支持编辑知识点认知目标标签，设置记忆、理解、应用、分析、评价、创造六级认知目标，并在此基础上自定义填写具体认知目标内容，内容字数上限不少于30字。</w:t>
      </w:r>
    </w:p>
    <w:p w14:paraId="624F078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支持编辑知识点描述，支持富文本编辑，包括调整字体颜色、字号、字体底色、插入项目符号等，支持插入网页链接，支持利用latex数学公式编辑器插入公式，支持AI自动生成知识点描述，字数上限不少于20字。</w:t>
      </w:r>
    </w:p>
    <w:p w14:paraId="5ED398D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基于知识点描述的内容，能够自由划选关键词，并通过所选教材或百科描述自动生成知识点补充词条，应包括词条标题、词条别名、词条内容，词条内容字数上限不少于100字。</w:t>
      </w:r>
    </w:p>
    <w:p w14:paraId="5404C59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支持从资源包选择具体的内容片段快速建立知识体系，并自动生成知识点名称。</w:t>
      </w:r>
    </w:p>
    <w:p w14:paraId="6186433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知识点上挂载题目和资源，单个知识点题目限制最高挂载数量不少于10道。资源挂载至少包括：直接上传本地文件、本地资源库资源（含视频、教材）引用、网络资源库资源（包含但不限于知乎、知网、百度百科平台）引用，资源类型包括jpg、txt、doc、ppt、mp4、pdf、rar等常见文件格式。</w:t>
      </w:r>
    </w:p>
    <w:p w14:paraId="3541AD6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在编辑单个知识点教学资源时，支持AI自动推荐知识点相关的教学视频片段、电子教材片段，方便教师快速选择。推荐的资源需包含资源名称、来自课程名称、学校名称、教师、章节信息、视频时长、引用状态，对不合适的视频资源可设置“不再推荐”。</w:t>
      </w:r>
    </w:p>
    <w:p w14:paraId="150F060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可以对所引用的教学资源进行切片处理：对于视频资源，可在视频时间轴上设置知识点片段的开始位置和截止位置，设置时能同时看到视频对应的时间戳；对于电子教材书籍，可设置对应知识点内容的起点和终点，高亮显示。</w:t>
      </w:r>
    </w:p>
    <w:p w14:paraId="5AF5252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知识点编辑状态可预览，预览界面与学生端学习知识点界面保持一致。</w:t>
      </w:r>
    </w:p>
    <w:p w14:paraId="1CB75B6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虚拟仿真课程资源：知识图谱资源部署平台需配备自有且完全公开使用的虚拟仿真教学资源供建设引用。所有课程均支持校内学生随时加入学习，学生可免登录一键转至课程实验界面进行实验练习。需提供具备在线预览功能的3D模型资源库，模型资源总量不低于100个，全部无版权争议。</w:t>
      </w:r>
      <w:r>
        <w:rPr>
          <w:rFonts w:hint="eastAsia" w:ascii="宋体" w:hAnsi="宋体" w:eastAsia="宋体" w:cs="宋体"/>
          <w:b/>
          <w:bCs/>
          <w:sz w:val="22"/>
          <w:szCs w:val="22"/>
        </w:rPr>
        <w:t>（提供所投真实产品的功能截图证明材料并加盖供应商公章）</w:t>
      </w:r>
    </w:p>
    <w:p w14:paraId="2C179D7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慕课和教材资源：</w:t>
      </w:r>
      <w:r>
        <w:rPr>
          <w:rFonts w:ascii="宋体" w:hAnsi="宋体" w:eastAsia="宋体" w:cs="宋体"/>
          <w:sz w:val="22"/>
          <w:szCs w:val="22"/>
        </w:rPr>
        <w:t>知识图谱资源部署平台需提供至少10000门慕课、20000本教材供建设引用。慕课引用界面包括课程名称、课程资源、所属学校等字段，慕课可以整门引用，也可以按照章节引用，可查看和删除引用资源。总体教材数量不低于20000本，教材应能基于OCR技术，根据目录章节结构化，完成结构化的教材，标准支持编辑书本信息、查看书本信息、预览原件、更换电子书封面、删除电子书。点击识别完成的电子书，能够查阅电子书全文，支持缩放比例，切换演示模式、页面滚动、切换单页/双页视图等。</w:t>
      </w:r>
    </w:p>
    <w:p w14:paraId="516AE75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能够</w:t>
      </w:r>
      <w:r>
        <w:rPr>
          <w:rFonts w:ascii="宋体" w:hAnsi="宋体" w:eastAsia="宋体" w:cs="宋体"/>
          <w:sz w:val="22"/>
          <w:szCs w:val="22"/>
        </w:rPr>
        <w:t>添加、编辑和删除</w:t>
      </w:r>
      <w:r>
        <w:rPr>
          <w:rFonts w:hint="eastAsia" w:ascii="宋体" w:hAnsi="宋体" w:eastAsia="宋体" w:cs="宋体"/>
          <w:sz w:val="22"/>
          <w:szCs w:val="22"/>
        </w:rPr>
        <w:t>知识关系，知识关系类型至少包括包含、顺序和相关。知识关系线方向支持单向和双向选择，不同维度知识关系通过不同的颜色进行区分展示。</w:t>
      </w:r>
    </w:p>
    <w:p w14:paraId="4F2C4BC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支持编辑知识图谱主题、知识点和属性的字号大小，知识图谱展示系统可以随设置字体大小进行显示。</w:t>
      </w:r>
    </w:p>
    <w:p w14:paraId="43704E5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支持查看当前知识地图全部内容，可以对知识地图进行放大、缩小，定位到课程，可展开/收缩节点，可全屏显示。支持搜索知识地图下的所有知识点以及属性名称。</w:t>
      </w:r>
    </w:p>
    <w:p w14:paraId="5E7A0A3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支持统计课程内全部知识节点数量、资源总数量、测试题目数量、引用课程总数、引用教材总数、本地上传资源总数，并以列表形式呈现结果。</w:t>
      </w:r>
    </w:p>
    <w:p w14:paraId="0B82DD2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支持统计知识点基本信息，统计单个知识点上的资源挂载数量、题目挂载数量，验证每个知识点的描述是否填充完整，计算并显示知识点填充完成度。</w:t>
      </w:r>
    </w:p>
    <w:p w14:paraId="4E18002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环状图谱展示课程全部的知识模块与知识点内容，可实现最少2级环状结构展示。可快速引导显示知识点的学习路径，选中知识点后，系统能够自动显示关联的知识学习路径。可选择全部层级或其中一层级知识点进行学习。</w:t>
      </w:r>
    </w:p>
    <w:p w14:paraId="531587A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通过知识主题显示课程中的个性化图谱内容，系统通过知识主题将全部知识点进行分割，并可单独针对每一个主题的知识体系进行详细展示。</w:t>
      </w:r>
    </w:p>
    <w:p w14:paraId="5332C06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支持查看知识点详情内容，详情内容包含知识点的前后关系、知识点目录、知识点的学习顺序、知识点内容、知识点标签、知识关系汇总、知识点包含教学资源、知识点的简介。</w:t>
      </w:r>
    </w:p>
    <w:p w14:paraId="7FF7F6B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支持知识点收藏，用户可根据自身需求对知识点进行收藏与取消收藏等操作。</w:t>
      </w:r>
    </w:p>
    <w:p w14:paraId="7AEBDC1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实现知识图谱导出：知识图谱能以png、jpg图片格式导出，知识图谱的知识关系能以xlsx格式导出。</w:t>
      </w:r>
    </w:p>
    <w:p w14:paraId="39336853">
      <w:pPr>
        <w:numPr>
          <w:ilvl w:val="0"/>
          <w:numId w:val="9"/>
        </w:numPr>
        <w:ind w:left="-442" w:leftChars="0" w:firstLine="442" w:firstLineChars="0"/>
        <w:outlineLvl w:val="2"/>
        <w:rPr>
          <w:rFonts w:hint="eastAsia" w:ascii="宋体" w:hAnsi="宋体" w:eastAsia="宋体" w:cs="宋体"/>
          <w:b/>
          <w:bCs/>
          <w:sz w:val="22"/>
          <w:szCs w:val="22"/>
        </w:rPr>
      </w:pPr>
      <w:bookmarkStart w:id="70" w:name="_Toc30495"/>
      <w:bookmarkStart w:id="71" w:name="_Toc17489"/>
      <w:r>
        <w:rPr>
          <w:rFonts w:hint="eastAsia" w:ascii="宋体" w:hAnsi="宋体" w:eastAsia="宋体" w:cs="宋体"/>
          <w:b/>
          <w:bCs/>
          <w:sz w:val="22"/>
          <w:szCs w:val="22"/>
        </w:rPr>
        <w:t>问题图谱构建要求</w:t>
      </w:r>
      <w:bookmarkEnd w:id="70"/>
      <w:bookmarkEnd w:id="71"/>
    </w:p>
    <w:p w14:paraId="152CD0A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通过“全局层问题-概念层问题-方法层问题”三层问题模型结构搭建问题图谱，实现</w:t>
      </w:r>
      <w:r>
        <w:rPr>
          <w:rFonts w:ascii="宋体" w:hAnsi="宋体" w:eastAsia="宋体" w:cs="宋体"/>
          <w:sz w:val="22"/>
          <w:szCs w:val="22"/>
        </w:rPr>
        <w:t>以问题为导向的学习，</w:t>
      </w:r>
      <w:r>
        <w:rPr>
          <w:rFonts w:hint="eastAsia" w:ascii="宋体" w:hAnsi="宋体" w:eastAsia="宋体" w:cs="宋体"/>
          <w:sz w:val="22"/>
          <w:szCs w:val="22"/>
        </w:rPr>
        <w:t>支持点击可查看课程经典问题所关联的知识点。</w:t>
      </w:r>
    </w:p>
    <w:p w14:paraId="7D78962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支持查看问题图谱单点内容时，高亮与该内容相关上下层图谱内容，并动态链路展示相关关系。</w:t>
      </w:r>
    </w:p>
    <w:p w14:paraId="159DB7A0">
      <w:pPr>
        <w:numPr>
          <w:ilvl w:val="0"/>
          <w:numId w:val="9"/>
        </w:numPr>
        <w:ind w:left="-442" w:leftChars="0" w:firstLine="442" w:firstLineChars="0"/>
        <w:outlineLvl w:val="2"/>
        <w:rPr>
          <w:rFonts w:hint="eastAsia" w:ascii="宋体" w:hAnsi="宋体" w:eastAsia="宋体" w:cs="宋体"/>
          <w:b/>
          <w:bCs/>
          <w:sz w:val="22"/>
          <w:szCs w:val="22"/>
        </w:rPr>
      </w:pPr>
      <w:bookmarkStart w:id="72" w:name="_Toc11188"/>
      <w:bookmarkStart w:id="73" w:name="_Toc6569"/>
      <w:r>
        <w:rPr>
          <w:rFonts w:hint="eastAsia" w:ascii="宋体" w:hAnsi="宋体" w:eastAsia="宋体" w:cs="宋体"/>
          <w:b/>
          <w:bCs/>
          <w:sz w:val="22"/>
          <w:szCs w:val="22"/>
        </w:rPr>
        <w:t>能力图谱构建要求</w:t>
      </w:r>
      <w:bookmarkEnd w:id="72"/>
      <w:bookmarkEnd w:id="73"/>
    </w:p>
    <w:p w14:paraId="61D5887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课程能力目标，包含课程目标描述、课程目标拆解、课程目标详情。其中课程目标拆解需设置主能力目标、子能力目标、关联知识点等，并统计每个能力目标的知识点覆盖率等，同时能力目标数量需设置不设上限。</w:t>
      </w:r>
    </w:p>
    <w:p w14:paraId="5061289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支持分类标记能力和下属子能力，可划分为知识、技能、素养3个维度，能够统计每个维度下子能力、知识点的数量，主能力支持关联毕业要求。</w:t>
      </w:r>
    </w:p>
    <w:p w14:paraId="1B7D07B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同一课程分版本教学（新建不同版本），选择不同知识/问题/能力/考核点，设置各版本运行时间，导入学生名单，生成差异化智能体与AI指令库。生成好的版本支持能力达成度自定义权重及能力达成度测算，根据所设置的课程能力目标，自动计算每个能力/子能力所覆盖的知识模块、知识点与问题详情。可通过能力详情，预览关联的知识体系、问题体系、问题详情等，并根据学生/班级能力达成度分析。</w:t>
      </w:r>
      <w:r>
        <w:rPr>
          <w:rFonts w:hint="eastAsia" w:ascii="宋体" w:hAnsi="宋体" w:eastAsia="宋体" w:cs="宋体"/>
          <w:b/>
          <w:bCs/>
          <w:sz w:val="22"/>
          <w:szCs w:val="22"/>
        </w:rPr>
        <w:t>（供应商提供真实系统现场演示）</w:t>
      </w:r>
    </w:p>
    <w:p w14:paraId="48BDB73F">
      <w:pPr>
        <w:numPr>
          <w:ilvl w:val="0"/>
          <w:numId w:val="7"/>
        </w:numPr>
        <w:ind w:left="0" w:firstLine="440" w:firstLineChars="200"/>
        <w:rPr>
          <w:rFonts w:hint="eastAsia" w:ascii="宋体" w:hAnsi="宋体" w:eastAsia="宋体" w:cs="宋体"/>
          <w:color w:val="0000FF"/>
          <w:sz w:val="22"/>
          <w:szCs w:val="22"/>
        </w:rPr>
      </w:pPr>
      <w:r>
        <w:rPr>
          <w:rFonts w:hint="eastAsia" w:ascii="宋体" w:hAnsi="宋体" w:eastAsia="宋体" w:cs="宋体"/>
          <w:sz w:val="22"/>
          <w:szCs w:val="22"/>
        </w:rPr>
        <w:t>支持展示课程的课程目标，包括课程的能力数量、子能力数量、覆盖知识点内容等信息。</w:t>
      </w:r>
    </w:p>
    <w:p w14:paraId="07B4E34E">
      <w:pPr>
        <w:numPr>
          <w:ilvl w:val="0"/>
          <w:numId w:val="9"/>
        </w:numPr>
        <w:ind w:left="-442" w:leftChars="0" w:firstLine="442" w:firstLineChars="0"/>
        <w:outlineLvl w:val="2"/>
        <w:rPr>
          <w:rFonts w:hint="eastAsia" w:ascii="宋体" w:hAnsi="宋体" w:eastAsia="宋体" w:cs="宋体"/>
          <w:b/>
          <w:bCs/>
          <w:sz w:val="22"/>
          <w:szCs w:val="22"/>
        </w:rPr>
      </w:pPr>
      <w:bookmarkStart w:id="74" w:name="_Toc20172"/>
      <w:bookmarkStart w:id="75" w:name="_Toc29130"/>
      <w:r>
        <w:rPr>
          <w:rFonts w:hint="eastAsia" w:ascii="宋体" w:hAnsi="宋体" w:eastAsia="宋体" w:cs="宋体"/>
          <w:b/>
          <w:bCs/>
          <w:sz w:val="22"/>
          <w:szCs w:val="22"/>
        </w:rPr>
        <w:t>实践图谱构建要求</w:t>
      </w:r>
      <w:bookmarkEnd w:id="74"/>
      <w:bookmarkEnd w:id="75"/>
    </w:p>
    <w:p w14:paraId="7D694B41">
      <w:pPr>
        <w:numPr>
          <w:ilvl w:val="0"/>
          <w:numId w:val="7"/>
        </w:numPr>
        <w:ind w:left="0" w:firstLine="440" w:firstLineChars="200"/>
        <w:rPr>
          <w:rFonts w:hint="eastAsia" w:ascii="宋体" w:hAnsi="宋体" w:eastAsia="宋体" w:cs="宋体"/>
          <w:color w:val="0000FF"/>
          <w:kern w:val="0"/>
          <w:sz w:val="22"/>
          <w:szCs w:val="22"/>
        </w:rPr>
      </w:pPr>
      <w:r>
        <w:rPr>
          <w:rFonts w:hint="eastAsia" w:ascii="宋体" w:hAnsi="宋体" w:eastAsia="宋体" w:cs="宋体"/>
          <w:kern w:val="0"/>
          <w:sz w:val="22"/>
          <w:szCs w:val="22"/>
        </w:rPr>
        <w:t>构建</w:t>
      </w:r>
      <w:r>
        <w:rPr>
          <w:rFonts w:hint="eastAsia" w:ascii="宋体" w:hAnsi="宋体" w:eastAsia="宋体" w:cs="宋体"/>
          <w:sz w:val="22"/>
          <w:szCs w:val="22"/>
        </w:rPr>
        <w:t>实践教学模块：支持添加线上实验实践项目以及线下实验实践项目。可添加实验基本信息，构建过程中针对项目的能力目标、实践前思考、实践详情、实践中思考、实践后思考、关联知识点与关联教学资源等多个部分进行详细建设，梳理实习实践全流程。支持关联平台自建/自有虚拟仿真资源，学生可免登录进入课程实验界面进行实验练习，支持引入国家虚拟仿真实验教学课程共享平台中的虚拟仿真资源进行实验练习，补充拓展学生实习实践场景。</w:t>
      </w:r>
    </w:p>
    <w:p w14:paraId="546DD7D5">
      <w:pPr>
        <w:numPr>
          <w:ilvl w:val="0"/>
          <w:numId w:val="9"/>
        </w:numPr>
        <w:ind w:left="-442" w:leftChars="0" w:firstLine="442" w:firstLineChars="0"/>
        <w:outlineLvl w:val="2"/>
        <w:rPr>
          <w:rFonts w:hint="eastAsia" w:ascii="宋体" w:hAnsi="宋体" w:eastAsia="宋体" w:cs="宋体"/>
          <w:b/>
          <w:bCs/>
          <w:sz w:val="22"/>
          <w:szCs w:val="22"/>
        </w:rPr>
      </w:pPr>
      <w:bookmarkStart w:id="76" w:name="_Toc24852"/>
      <w:bookmarkStart w:id="77" w:name="_Toc4273"/>
      <w:r>
        <w:rPr>
          <w:rFonts w:hint="eastAsia" w:ascii="宋体" w:hAnsi="宋体" w:eastAsia="宋体" w:cs="宋体"/>
          <w:b/>
          <w:bCs/>
          <w:sz w:val="22"/>
          <w:szCs w:val="22"/>
        </w:rPr>
        <w:t>思政图谱构建要求</w:t>
      </w:r>
      <w:bookmarkEnd w:id="76"/>
      <w:bookmarkEnd w:id="77"/>
    </w:p>
    <w:p w14:paraId="61C3C4B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构建思政图谱模块：支持对课程内的知识点进行分类汇聚，自定义思政主题，每个主题支持自定义名称、自定义背景及颜色。支持在思政主题下新增选择知识点，每个知识点后可自定义思政标签，支持不少于5个标签。</w:t>
      </w:r>
    </w:p>
    <w:p w14:paraId="68ACA39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思政图谱每个主题的知识点色调与大主题背景保持一致，支持点击可跳转学习。</w:t>
      </w:r>
    </w:p>
    <w:p w14:paraId="652BE27F">
      <w:pPr>
        <w:numPr>
          <w:ilvl w:val="0"/>
          <w:numId w:val="9"/>
        </w:numPr>
        <w:ind w:left="-442" w:leftChars="0" w:firstLine="442" w:firstLineChars="0"/>
        <w:outlineLvl w:val="2"/>
        <w:rPr>
          <w:rFonts w:hint="eastAsia" w:ascii="宋体" w:hAnsi="宋体" w:eastAsia="宋体" w:cs="宋体"/>
          <w:b/>
          <w:bCs/>
          <w:sz w:val="22"/>
          <w:szCs w:val="22"/>
        </w:rPr>
      </w:pPr>
      <w:bookmarkStart w:id="78" w:name="_Toc25770"/>
      <w:bookmarkStart w:id="79" w:name="_Toc18272"/>
      <w:r>
        <w:rPr>
          <w:rFonts w:hint="eastAsia" w:ascii="宋体" w:hAnsi="宋体" w:eastAsia="宋体" w:cs="宋体"/>
          <w:b/>
          <w:bCs/>
          <w:sz w:val="22"/>
          <w:szCs w:val="22"/>
        </w:rPr>
        <w:t>案例库构建要求</w:t>
      </w:r>
      <w:bookmarkEnd w:id="78"/>
      <w:bookmarkEnd w:id="79"/>
    </w:p>
    <w:p w14:paraId="3B297EE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构建课程专属案例库，可基于不同案例类型进行筛选，支持搜索并引用平台已共享的案例，共享案例不低于10个。AI可解析案例文件补充至课程知识库中，师生可基于此案例对话。支持展示不同案例类型中的所有案例，点击单个案例，可查看案例名称、案例详情及关联的知识点、能力目标、案例链接（支持跳转）、关联资源等。完成AI解析的案例，</w:t>
      </w:r>
      <w:r>
        <w:rPr>
          <w:rFonts w:ascii="宋体" w:hAnsi="宋体" w:eastAsia="宋体" w:cs="宋体"/>
          <w:sz w:val="22"/>
          <w:szCs w:val="22"/>
        </w:rPr>
        <w:t>AI学伴</w:t>
      </w:r>
      <w:r>
        <w:rPr>
          <w:rFonts w:hint="eastAsia" w:ascii="宋体" w:hAnsi="宋体" w:eastAsia="宋体" w:cs="宋体"/>
          <w:sz w:val="22"/>
          <w:szCs w:val="22"/>
        </w:rPr>
        <w:t>会辅助进行案例快速总结，可设置推荐资源，描述案例详情时，可由AI进行标注。</w:t>
      </w:r>
      <w:r>
        <w:rPr>
          <w:rFonts w:hint="eastAsia" w:ascii="宋体" w:hAnsi="宋体" w:eastAsia="宋体" w:cs="宋体"/>
          <w:b/>
          <w:bCs/>
          <w:sz w:val="22"/>
          <w:szCs w:val="22"/>
        </w:rPr>
        <w:t>（提供所投真实产品的功能截图证明材料并加盖供应商公章）</w:t>
      </w:r>
    </w:p>
    <w:p w14:paraId="7C9D9C1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案例库进行内容管理，包括编辑分类名称、删除分类、新增案例、从案例库导入案例、以文件形式导出案例、删除案例；案例库可由课程团队成员多方维护，可以列表或卡片两种模式呈现案例名称、案例分类、创建人，其中自建案例可进行二次编辑；案例资源支持jpg、txt、doc、ppt、mp4、pdf、rar等格式类型。</w:t>
      </w:r>
    </w:p>
    <w:p w14:paraId="166F053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新增或编辑案例时，可编辑案例名称、选择是否共享、关联知识点、关联能力目标、关联问题、输入案例链接、设置案例封面（支持AI生成封面）、设置推荐资源。</w:t>
      </w:r>
    </w:p>
    <w:p w14:paraId="132E143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支持将课程案例库作为AI功能的语料库，为AI问答提供语料支撑。</w:t>
      </w:r>
    </w:p>
    <w:p w14:paraId="005DABA9">
      <w:pPr>
        <w:numPr>
          <w:ilvl w:val="0"/>
          <w:numId w:val="9"/>
        </w:numPr>
        <w:ind w:left="-442" w:leftChars="0" w:firstLine="442" w:firstLineChars="0"/>
        <w:outlineLvl w:val="2"/>
        <w:rPr>
          <w:rFonts w:hint="eastAsia" w:ascii="宋体" w:hAnsi="宋体" w:eastAsia="宋体" w:cs="宋体"/>
          <w:b/>
          <w:bCs/>
          <w:sz w:val="22"/>
          <w:szCs w:val="22"/>
        </w:rPr>
      </w:pPr>
      <w:bookmarkStart w:id="80" w:name="_Toc26227"/>
      <w:bookmarkStart w:id="81" w:name="_Toc2612"/>
      <w:r>
        <w:rPr>
          <w:rFonts w:hint="eastAsia" w:ascii="宋体" w:hAnsi="宋体" w:eastAsia="宋体" w:cs="宋体"/>
          <w:b/>
          <w:bCs/>
          <w:sz w:val="22"/>
          <w:szCs w:val="22"/>
        </w:rPr>
        <w:t>新形态教材学习</w:t>
      </w:r>
      <w:bookmarkEnd w:id="80"/>
      <w:bookmarkEnd w:id="81"/>
    </w:p>
    <w:p w14:paraId="321B641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支持通过系统自动构建课程知识点与章节知识点二维码或链接，并可免登录完成知识学习，学习内容包含动态知识图谱、知识点资源、知识点简介、知识点结构，资源内容可直接通过手机预览并学习。</w:t>
      </w:r>
    </w:p>
    <w:p w14:paraId="0DBD65D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支持分享知识点链接，复制后的链接可直接进行知识点详情学习。</w:t>
      </w:r>
    </w:p>
    <w:p w14:paraId="5D94FEE6">
      <w:pPr>
        <w:numPr>
          <w:ilvl w:val="0"/>
          <w:numId w:val="9"/>
        </w:numPr>
        <w:ind w:left="-442" w:leftChars="0" w:firstLine="442" w:firstLineChars="0"/>
        <w:outlineLvl w:val="2"/>
        <w:rPr>
          <w:rFonts w:hint="eastAsia" w:ascii="宋体" w:hAnsi="宋体" w:eastAsia="宋体" w:cs="宋体"/>
          <w:b/>
          <w:bCs/>
          <w:sz w:val="22"/>
          <w:szCs w:val="22"/>
        </w:rPr>
      </w:pPr>
      <w:bookmarkStart w:id="82" w:name="_Toc10726"/>
      <w:bookmarkStart w:id="83" w:name="_Toc2056"/>
      <w:r>
        <w:rPr>
          <w:rFonts w:hint="eastAsia" w:ascii="宋体" w:hAnsi="宋体" w:eastAsia="宋体" w:cs="宋体"/>
          <w:b/>
          <w:bCs/>
          <w:sz w:val="22"/>
          <w:szCs w:val="22"/>
        </w:rPr>
        <w:t>课程</w:t>
      </w:r>
      <w:r>
        <w:rPr>
          <w:rFonts w:ascii="宋体" w:hAnsi="宋体" w:eastAsia="宋体" w:cs="宋体"/>
          <w:b/>
          <w:bCs/>
          <w:sz w:val="22"/>
          <w:szCs w:val="22"/>
        </w:rPr>
        <w:t>AI学伴</w:t>
      </w:r>
      <w:r>
        <w:rPr>
          <w:rFonts w:hint="eastAsia" w:ascii="宋体" w:hAnsi="宋体" w:eastAsia="宋体" w:cs="宋体"/>
          <w:b/>
          <w:bCs/>
          <w:sz w:val="22"/>
          <w:szCs w:val="22"/>
        </w:rPr>
        <w:t>数字人形象</w:t>
      </w:r>
      <w:bookmarkEnd w:id="82"/>
      <w:bookmarkEnd w:id="83"/>
    </w:p>
    <w:p w14:paraId="4EA9036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支持根据用户提供的有清晰正脸的人物照片（支持JPG/PNG）和清晰语音（支持MP3/WAV），平台自动创建数字人分身。支持平台提供不少于5个公共形象库资源，用户自行选择形象。用户可自定义</w:t>
      </w:r>
      <w:r>
        <w:rPr>
          <w:rFonts w:ascii="宋体" w:hAnsi="宋体" w:eastAsia="宋体" w:cs="宋体"/>
          <w:sz w:val="22"/>
          <w:szCs w:val="22"/>
        </w:rPr>
        <w:t>AI学伴</w:t>
      </w:r>
      <w:r>
        <w:rPr>
          <w:rFonts w:hint="eastAsia" w:ascii="宋体" w:hAnsi="宋体" w:eastAsia="宋体" w:cs="宋体"/>
          <w:sz w:val="22"/>
          <w:szCs w:val="22"/>
        </w:rPr>
        <w:t>名称、设置专属开场白，提供美颜、磨皮等形象调整工具，调整后可实时预览效果，确保数字人形象符合课程风格与使用需求。</w:t>
      </w:r>
    </w:p>
    <w:p w14:paraId="0F9E40E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w:t>
      </w:r>
      <w:r>
        <w:rPr>
          <w:rFonts w:ascii="宋体" w:hAnsi="宋体" w:eastAsia="宋体" w:cs="宋体"/>
          <w:sz w:val="22"/>
          <w:szCs w:val="22"/>
        </w:rPr>
        <w:t>AI学伴数字人</w:t>
      </w:r>
      <w:r>
        <w:rPr>
          <w:rFonts w:hint="eastAsia" w:ascii="宋体" w:hAnsi="宋体" w:eastAsia="宋体" w:cs="宋体"/>
          <w:sz w:val="22"/>
          <w:szCs w:val="22"/>
        </w:rPr>
        <w:t>形象在多场景灵活呈现，包括课程主页、AI对话界面、ppt插件课堂活动页面、学生端知识点学习页面及个性化学习路径页面，</w:t>
      </w:r>
      <w:r>
        <w:rPr>
          <w:rFonts w:ascii="宋体" w:hAnsi="宋体" w:eastAsia="宋体" w:cs="宋体"/>
          <w:sz w:val="22"/>
          <w:szCs w:val="22"/>
        </w:rPr>
        <w:t>AI学伴数字人</w:t>
      </w:r>
      <w:r>
        <w:rPr>
          <w:rFonts w:hint="eastAsia" w:ascii="宋体" w:hAnsi="宋体" w:eastAsia="宋体" w:cs="宋体"/>
          <w:sz w:val="22"/>
          <w:szCs w:val="22"/>
        </w:rPr>
        <w:t>说话口型、肢体动作与语音内容匹配且自然。</w:t>
      </w:r>
    </w:p>
    <w:p w14:paraId="1C98741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支持采集老师原声并复刻应用于</w:t>
      </w:r>
      <w:r>
        <w:rPr>
          <w:rFonts w:ascii="宋体" w:hAnsi="宋体" w:eastAsia="宋体" w:cs="宋体"/>
          <w:sz w:val="22"/>
          <w:szCs w:val="22"/>
        </w:rPr>
        <w:t>AI学伴数字人</w:t>
      </w:r>
      <w:r>
        <w:rPr>
          <w:rFonts w:hint="eastAsia" w:ascii="宋体" w:hAnsi="宋体" w:eastAsia="宋体" w:cs="宋体"/>
          <w:sz w:val="22"/>
          <w:szCs w:val="22"/>
        </w:rPr>
        <w:t>，在课前预习引导、课中内容讲解、课后答疑辅导等场景中与学生互动，提升学生的熟悉感与学习代入感。​</w:t>
      </w:r>
    </w:p>
    <w:p w14:paraId="02CDF76D">
      <w:pPr>
        <w:numPr>
          <w:ilvl w:val="0"/>
          <w:numId w:val="9"/>
        </w:numPr>
        <w:ind w:left="-442" w:leftChars="0" w:firstLine="442" w:firstLineChars="0"/>
        <w:outlineLvl w:val="2"/>
        <w:rPr>
          <w:rFonts w:hint="eastAsia" w:ascii="宋体" w:hAnsi="宋体" w:eastAsia="宋体" w:cs="宋体"/>
          <w:b/>
          <w:bCs/>
          <w:sz w:val="22"/>
          <w:szCs w:val="22"/>
        </w:rPr>
      </w:pPr>
      <w:bookmarkStart w:id="84" w:name="_Toc2250"/>
      <w:bookmarkStart w:id="85" w:name="_Toc31697"/>
      <w:r>
        <w:rPr>
          <w:rFonts w:hint="eastAsia" w:ascii="宋体" w:hAnsi="宋体" w:eastAsia="宋体" w:cs="宋体"/>
          <w:b/>
          <w:bCs/>
          <w:sz w:val="22"/>
          <w:szCs w:val="22"/>
        </w:rPr>
        <w:t>智慧课程题库建设</w:t>
      </w:r>
      <w:bookmarkEnd w:id="84"/>
      <w:bookmarkEnd w:id="85"/>
    </w:p>
    <w:p w14:paraId="1C2A63F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支持多种题型的创建管理，包含单选题、多选题、判断题、填空题、问答题、组合题六类。</w:t>
      </w:r>
    </w:p>
    <w:p w14:paraId="45721C4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题目题干、答案及解析支持富文本编辑，包括内容录入、图片录入、格式刷、字体更改、字号更改，支持插入链接，支持Mathtype、latex公式编辑器,支持上传任意格式附件。</w:t>
      </w:r>
    </w:p>
    <w:p w14:paraId="50CF2C2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单选题支持设置一个标准答案，可新增、删除答案选项。多选题支持设置多个标准答案，可新增、删除答案选项。判断题支持设置一个标准答案，选项内容包括“对”和“错”两项。填空题支持设置多个标准答案，可新增、删除答案选项。问答题支持设置一个标准答案，可新增、删除答案选项。组合题支持在题目中设置多个题型的子题目，题型至少包括单选题、多选题、判断题、填空题和问答题，子题目数量上限不少于10道，支持调整子题目顺序，支持删除子题目。</w:t>
      </w:r>
    </w:p>
    <w:p w14:paraId="201B1C9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支持通过word和Excel模板导入的形式新建题目，支持下载导入模板，支持基于模板自动识别试题，并返回识别结果，支持选择部分试题进行导入，支持对识别后的试题进行修改。具备批量编辑和删除题目的功能。</w:t>
      </w:r>
    </w:p>
    <w:p w14:paraId="6AF26E98">
      <w:pPr>
        <w:numPr>
          <w:ilvl w:val="0"/>
          <w:numId w:val="6"/>
        </w:numPr>
        <w:ind w:left="0" w:leftChars="0" w:firstLine="0" w:firstLineChars="0"/>
        <w:outlineLvl w:val="1"/>
        <w:rPr>
          <w:rFonts w:hint="eastAsia" w:ascii="宋体" w:hAnsi="宋体" w:eastAsia="宋体" w:cs="宋体"/>
          <w:b/>
          <w:bCs/>
          <w:sz w:val="22"/>
          <w:szCs w:val="22"/>
        </w:rPr>
      </w:pPr>
      <w:bookmarkStart w:id="86" w:name="_Toc28722"/>
      <w:bookmarkStart w:id="87" w:name="_Toc3389"/>
      <w:r>
        <w:rPr>
          <w:rFonts w:hint="eastAsia" w:ascii="宋体" w:hAnsi="宋体" w:eastAsia="宋体" w:cs="宋体"/>
          <w:b/>
          <w:bCs/>
          <w:sz w:val="22"/>
          <w:szCs w:val="22"/>
        </w:rPr>
        <w:t>数字人视频建设</w:t>
      </w:r>
      <w:bookmarkEnd w:id="86"/>
      <w:bookmarkEnd w:id="87"/>
    </w:p>
    <w:p w14:paraId="22E84AF8">
      <w:pPr>
        <w:numPr>
          <w:ilvl w:val="0"/>
          <w:numId w:val="10"/>
        </w:numPr>
        <w:ind w:firstLine="442" w:firstLineChars="200"/>
        <w:outlineLvl w:val="2"/>
        <w:rPr>
          <w:rFonts w:hint="eastAsia" w:ascii="宋体" w:hAnsi="宋体" w:eastAsia="宋体" w:cs="宋体"/>
          <w:b/>
          <w:bCs/>
          <w:sz w:val="22"/>
          <w:szCs w:val="22"/>
        </w:rPr>
      </w:pPr>
      <w:bookmarkStart w:id="88" w:name="_Toc28258"/>
      <w:bookmarkStart w:id="89" w:name="_Toc13537"/>
      <w:r>
        <w:rPr>
          <w:rFonts w:hint="eastAsia" w:ascii="宋体" w:hAnsi="宋体" w:eastAsia="宋体" w:cs="宋体"/>
          <w:b/>
          <w:bCs/>
          <w:sz w:val="22"/>
          <w:szCs w:val="22"/>
        </w:rPr>
        <w:t>支持数字人形象构建</w:t>
      </w:r>
      <w:bookmarkEnd w:id="88"/>
      <w:bookmarkEnd w:id="89"/>
    </w:p>
    <w:p w14:paraId="58D33ECC">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★数字人人像构建：支持真人定制，还原形态逼真，定制出教师的数字人分身；数字人分身头部能够在上下左右各方向上20度的微动，以及手部动作自由活动。</w:t>
      </w:r>
      <w:r>
        <w:rPr>
          <w:rFonts w:hint="eastAsia" w:ascii="宋体" w:hAnsi="宋体" w:eastAsia="宋体" w:cs="宋体"/>
          <w:b/>
          <w:bCs/>
          <w:sz w:val="22"/>
          <w:szCs w:val="22"/>
        </w:rPr>
        <w:t>（实质性参数）</w:t>
      </w:r>
    </w:p>
    <w:p w14:paraId="3C5A68EE">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数字人声音构建：支持真人真声定制，还原形态逼真，精准复刻出教师的声音，支持调整数字人的音调、语速、音量等。可实现常见的中英文声音复刻，能够根据讲稿的语义内容自动进行断句停顿，能够灵活调整语速与自定义设置停顿。</w:t>
      </w:r>
      <w:r>
        <w:rPr>
          <w:rFonts w:hint="eastAsia" w:ascii="宋体" w:hAnsi="宋体" w:eastAsia="宋体" w:cs="宋体"/>
          <w:b/>
          <w:bCs/>
          <w:sz w:val="22"/>
          <w:szCs w:val="22"/>
        </w:rPr>
        <w:t>（实质性参数）</w:t>
      </w:r>
    </w:p>
    <w:p w14:paraId="63514F6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提供多语言的合成，除了常见的中文、英语外，还包括泰语、俄语、日语、韩语、法语、德语多国语言。</w:t>
      </w:r>
    </w:p>
    <w:p w14:paraId="22F5F800">
      <w:pPr>
        <w:numPr>
          <w:ilvl w:val="0"/>
          <w:numId w:val="10"/>
        </w:numPr>
        <w:ind w:firstLine="442" w:firstLineChars="200"/>
        <w:outlineLvl w:val="2"/>
        <w:rPr>
          <w:rFonts w:hint="eastAsia" w:ascii="宋体" w:hAnsi="宋体" w:eastAsia="宋体" w:cs="宋体"/>
          <w:b/>
          <w:bCs/>
          <w:sz w:val="22"/>
          <w:szCs w:val="22"/>
        </w:rPr>
      </w:pPr>
      <w:bookmarkStart w:id="90" w:name="_Toc5614"/>
      <w:bookmarkStart w:id="91" w:name="_Toc16972"/>
      <w:r>
        <w:rPr>
          <w:rFonts w:hint="eastAsia" w:ascii="宋体" w:hAnsi="宋体" w:eastAsia="宋体" w:cs="宋体"/>
          <w:b/>
          <w:bCs/>
          <w:sz w:val="22"/>
          <w:szCs w:val="22"/>
        </w:rPr>
        <w:t>采集数字人场地要求</w:t>
      </w:r>
      <w:bookmarkEnd w:id="90"/>
      <w:bookmarkEnd w:id="91"/>
    </w:p>
    <w:p w14:paraId="52FB714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支持在采购人指定场地开展数字人采集服务，场景布置及拍摄设备均由供应商自行筹备，不额外向采购人收取费用。</w:t>
      </w:r>
    </w:p>
    <w:p w14:paraId="4AE40E0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支持提供成都市内专业摄影棚开展数字人采集服务，拍摄场地安排、场景布置及拍摄设备均由供应商自行筹备，不额外向采购人收取费用。</w:t>
      </w:r>
    </w:p>
    <w:p w14:paraId="44E8E20C">
      <w:pPr>
        <w:numPr>
          <w:ilvl w:val="0"/>
          <w:numId w:val="10"/>
        </w:numPr>
        <w:ind w:firstLine="442" w:firstLineChars="200"/>
        <w:outlineLvl w:val="2"/>
        <w:rPr>
          <w:rFonts w:hint="eastAsia" w:ascii="宋体" w:hAnsi="宋体" w:eastAsia="宋体" w:cs="宋体"/>
          <w:b/>
          <w:bCs/>
          <w:sz w:val="22"/>
          <w:szCs w:val="22"/>
        </w:rPr>
      </w:pPr>
      <w:bookmarkStart w:id="92" w:name="_Toc22541"/>
      <w:bookmarkStart w:id="93" w:name="_Toc26567"/>
      <w:r>
        <w:rPr>
          <w:rFonts w:hint="eastAsia" w:ascii="宋体" w:hAnsi="宋体" w:eastAsia="宋体" w:cs="宋体"/>
          <w:b/>
          <w:bCs/>
          <w:sz w:val="22"/>
          <w:szCs w:val="22"/>
        </w:rPr>
        <w:t>AI应用协助教学内容建设</w:t>
      </w:r>
      <w:bookmarkEnd w:id="92"/>
      <w:bookmarkEnd w:id="93"/>
    </w:p>
    <w:p w14:paraId="530675F7">
      <w:pPr>
        <w:ind w:firstLine="442" w:firstLineChars="200"/>
        <w:outlineLvl w:val="3"/>
        <w:rPr>
          <w:rFonts w:hint="eastAsia" w:ascii="宋体" w:hAnsi="宋体" w:eastAsia="宋体" w:cs="宋体"/>
          <w:b/>
          <w:bCs/>
          <w:sz w:val="22"/>
          <w:szCs w:val="22"/>
        </w:rPr>
      </w:pPr>
      <w:r>
        <w:rPr>
          <w:rFonts w:hint="eastAsia" w:ascii="宋体" w:hAnsi="宋体" w:eastAsia="宋体" w:cs="宋体"/>
          <w:b/>
          <w:bCs/>
          <w:sz w:val="22"/>
          <w:szCs w:val="22"/>
        </w:rPr>
        <w:t>AI生成讲稿</w:t>
      </w:r>
    </w:p>
    <w:p w14:paraId="36712A7E">
      <w:pPr>
        <w:numPr>
          <w:ilvl w:val="0"/>
          <w:numId w:val="7"/>
        </w:numPr>
        <w:ind w:left="0" w:firstLine="440" w:firstLineChars="200"/>
        <w:rPr>
          <w:rFonts w:ascii="宋体" w:hAnsi="宋体" w:eastAsia="宋体" w:cs="宋体"/>
          <w:sz w:val="22"/>
          <w:szCs w:val="22"/>
        </w:rPr>
      </w:pPr>
      <w:r>
        <w:rPr>
          <w:rFonts w:hint="eastAsia" w:ascii="宋体" w:hAnsi="宋体" w:eastAsia="宋体" w:cs="宋体"/>
          <w:sz w:val="22"/>
          <w:szCs w:val="22"/>
        </w:rPr>
        <w:t>支持AI自动梳理教学PPT中的知识点及重难点，并生成对应讲稿。</w:t>
      </w:r>
    </w:p>
    <w:p w14:paraId="33C1DD2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无教学PPT的情况下，可依托章节信息搜索教材相关内容，AI先完成本节课大纲的生成，再根据大纲所涵盖的知识点生成讲稿。</w:t>
      </w:r>
    </w:p>
    <w:p w14:paraId="1426D32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能够支持教师自定义讲课风格，使生成的讲稿更贴近真人撰写的语气与逻辑。</w:t>
      </w:r>
    </w:p>
    <w:p w14:paraId="1D2B0704">
      <w:pPr>
        <w:ind w:firstLine="442" w:firstLineChars="200"/>
        <w:outlineLvl w:val="3"/>
        <w:rPr>
          <w:rFonts w:hint="eastAsia" w:ascii="宋体" w:hAnsi="宋体" w:eastAsia="宋体" w:cs="宋体"/>
          <w:b/>
          <w:bCs/>
          <w:sz w:val="22"/>
          <w:szCs w:val="22"/>
        </w:rPr>
      </w:pPr>
      <w:r>
        <w:rPr>
          <w:rFonts w:hint="eastAsia" w:ascii="宋体" w:hAnsi="宋体" w:eastAsia="宋体" w:cs="宋体"/>
          <w:b/>
          <w:bCs/>
          <w:sz w:val="22"/>
          <w:szCs w:val="22"/>
        </w:rPr>
        <w:t>AI生成PPT</w:t>
      </w:r>
    </w:p>
    <w:p w14:paraId="25597C8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支持AI自动生成PPT框架：可基于章节大纲、内容概述、知识图谱、知识点及相关资料，AI自动搭建多级PPT框架与叙事逻辑，支持教师自主修改完善。</w:t>
      </w:r>
    </w:p>
    <w:p w14:paraId="258F316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支持AI自动加工PPT内容：AI识别输入内容中的关键点、摘要，生成PPT文本内容；可自动生成可视化图表（如柱状图、饼图、折线图等）、图像资源，并智能优化页面排版布局。</w:t>
      </w:r>
    </w:p>
    <w:p w14:paraId="64AF0B1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支持PPT自定义编辑：教师可对生成的PPT进行个性化调整，包括主题模板套用、局部模板替换、页面结构修改、样式细节优化等操作。</w:t>
      </w:r>
    </w:p>
    <w:p w14:paraId="13922D09">
      <w:pPr>
        <w:ind w:firstLine="442" w:firstLineChars="200"/>
        <w:outlineLvl w:val="3"/>
        <w:rPr>
          <w:rFonts w:hint="eastAsia" w:ascii="宋体" w:hAnsi="宋体" w:eastAsia="宋体" w:cs="宋体"/>
          <w:b/>
          <w:bCs/>
          <w:sz w:val="22"/>
          <w:szCs w:val="22"/>
        </w:rPr>
      </w:pPr>
      <w:r>
        <w:rPr>
          <w:rFonts w:hint="eastAsia" w:ascii="宋体" w:hAnsi="宋体" w:eastAsia="宋体" w:cs="宋体"/>
          <w:b/>
          <w:bCs/>
          <w:sz w:val="22"/>
          <w:szCs w:val="22"/>
        </w:rPr>
        <w:t>AI生成图片</w:t>
      </w:r>
    </w:p>
    <w:p w14:paraId="5112A60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支持AI智能生成知识点配图：可根据文字描述或场景参考图生成教学相关的图片，支持16:9、3:2、1:1等常用比例，最高分辨率不低于1440px。</w:t>
      </w:r>
    </w:p>
    <w:p w14:paraId="3BB1146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支持图片精细化编辑：支持放大、风格转换、色彩调整、人物形象固定、局部重绘、智能扩图等操作。</w:t>
      </w:r>
    </w:p>
    <w:p w14:paraId="61DD9126">
      <w:pPr>
        <w:ind w:firstLine="442" w:firstLineChars="200"/>
        <w:outlineLvl w:val="3"/>
        <w:rPr>
          <w:rFonts w:hint="eastAsia" w:ascii="宋体" w:hAnsi="宋体" w:eastAsia="宋体" w:cs="宋体"/>
          <w:b/>
          <w:bCs/>
          <w:sz w:val="22"/>
          <w:szCs w:val="22"/>
        </w:rPr>
      </w:pPr>
      <w:r>
        <w:rPr>
          <w:rFonts w:hint="eastAsia" w:ascii="宋体" w:hAnsi="宋体" w:eastAsia="宋体" w:cs="宋体"/>
          <w:b/>
          <w:bCs/>
          <w:sz w:val="22"/>
          <w:szCs w:val="22"/>
        </w:rPr>
        <w:t>AI生成视频</w:t>
      </w:r>
    </w:p>
    <w:p w14:paraId="217CC1D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支持文本驱动视频生成：根据输入文本描述自动生成视频内容，人物动作、场景布置与文本语义高度匹配。</w:t>
      </w:r>
    </w:p>
    <w:p w14:paraId="03AF056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支持图片生成动态视频：基于输入图片的内容与特征，AI生成关联动态视频，可将静态人像照片转化为特定场景下的人物活动视频。</w:t>
      </w:r>
    </w:p>
    <w:p w14:paraId="5C5BA5A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支持指定角色动作生成：可根据动作描述，为图片中的人物或动物生成指定动作，实现指定区域按目标方向运动。</w:t>
      </w:r>
    </w:p>
    <w:p w14:paraId="1F94AC3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支持智能视频特效增强：支持自动添加火焰、水流、烟雾等场景特效，同时支持转场特效、滤镜美化。</w:t>
      </w:r>
    </w:p>
    <w:p w14:paraId="47D6CE8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支持语音口型同步合成：当画面中人脸稳定可见时，实现语音与口型精准匹配，视频输出清晰度不低于1080p。</w:t>
      </w:r>
    </w:p>
    <w:p w14:paraId="0D9859D4">
      <w:pPr>
        <w:ind w:firstLine="442" w:firstLineChars="200"/>
        <w:outlineLvl w:val="3"/>
        <w:rPr>
          <w:rFonts w:hint="eastAsia" w:ascii="宋体" w:hAnsi="宋体" w:eastAsia="宋体" w:cs="宋体"/>
          <w:b/>
          <w:bCs/>
          <w:sz w:val="22"/>
          <w:szCs w:val="22"/>
        </w:rPr>
      </w:pPr>
      <w:r>
        <w:rPr>
          <w:rFonts w:hint="eastAsia" w:ascii="宋体" w:hAnsi="宋体" w:eastAsia="宋体" w:cs="宋体"/>
          <w:b/>
          <w:bCs/>
          <w:sz w:val="22"/>
          <w:szCs w:val="22"/>
        </w:rPr>
        <w:t>AI生成题目</w:t>
      </w:r>
    </w:p>
    <w:p w14:paraId="37EE20E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支持AI生成客观题：支持AI根据课程中的知识点自动生成选择题、判断题、填空题等多种类型的客观题。</w:t>
      </w:r>
    </w:p>
    <w:p w14:paraId="03ED4BD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支持AI生成主观题：支持AI生成多种形式的主观题，包括简答题、论述题等。</w:t>
      </w:r>
    </w:p>
    <w:p w14:paraId="037F8DF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支持AI生成章节测试与考试题：支持AI根据课程的章节内容，自动生成与知识点相关的测试题和考试题，题目涵盖不同难度和题型，且需经过老师线上审核通过后录入课程题库，供教学使用。</w:t>
      </w:r>
    </w:p>
    <w:p w14:paraId="2748C46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支持弹题生成：AI根据讲稿与视频内容，自动生成整门课程视频中的弹题，支持针对单个视频添加弹题，弹题可自动定位视频对应时间点，并支持人工审核与编辑。</w:t>
      </w:r>
    </w:p>
    <w:p w14:paraId="2D47F3A2">
      <w:pPr>
        <w:numPr>
          <w:ilvl w:val="0"/>
          <w:numId w:val="10"/>
        </w:numPr>
        <w:ind w:firstLine="442" w:firstLineChars="200"/>
        <w:outlineLvl w:val="2"/>
        <w:rPr>
          <w:rFonts w:hint="eastAsia" w:ascii="宋体" w:hAnsi="宋体" w:eastAsia="宋体" w:cs="宋体"/>
          <w:b/>
          <w:bCs/>
          <w:sz w:val="22"/>
          <w:szCs w:val="22"/>
        </w:rPr>
      </w:pPr>
      <w:bookmarkStart w:id="94" w:name="_Toc11128"/>
      <w:bookmarkStart w:id="95" w:name="_Toc23660"/>
      <w:r>
        <w:rPr>
          <w:rFonts w:hint="eastAsia" w:ascii="宋体" w:hAnsi="宋体" w:eastAsia="宋体" w:cs="宋体"/>
          <w:b/>
          <w:bCs/>
          <w:sz w:val="22"/>
          <w:szCs w:val="22"/>
        </w:rPr>
        <w:t>视频总体要求</w:t>
      </w:r>
      <w:bookmarkEnd w:id="94"/>
      <w:bookmarkEnd w:id="95"/>
    </w:p>
    <w:p w14:paraId="2EB76A6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视频时长：1门课程对应不少于300分钟的视频资源建设，由若干个视频组成，视频之间有明确的章节逻辑关系，单个视频时长为5-15分钟。</w:t>
      </w:r>
    </w:p>
    <w:p w14:paraId="48A8B86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片头片尾设计：根据课程内容提供片头片尾设计，片头和片尾均不超过10秒，片头特效包含学校Logo、课程名称、主讲教师姓名、专业技术职务。</w:t>
      </w:r>
    </w:p>
    <w:p w14:paraId="7793F24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课程封面设计：根据课程特色内容提供课程封面图设计，文件格式jpg或gif，图片大小不低于1024*768，风格清新自然。</w:t>
      </w:r>
    </w:p>
    <w:p w14:paraId="354D7A2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内容剪辑制作：按照课程设计，剪辑制作各章节教学视频。根据需要添加必要的背景音乐或其它素材等。后期特效保证画面美观、色彩真实。教师授课视频包含人物特写、知识点特效展示、人物中景等多景别，场景切换自然流畅、无色彩突变，画面稳定无晃动、模糊镜头，动画效果流畅合理、图像清晰。声音和画面要求同步，无失真、噪声杂音干扰、音量忽大忽小现象。</w:t>
      </w:r>
    </w:p>
    <w:p w14:paraId="07E4BAB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素材处理：为视频素材提供片段删减、段落顺序重组、历史素材并入、相关素材引入组合等。</w:t>
      </w:r>
    </w:p>
    <w:p w14:paraId="3F63A2F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特效处理：为视频素材编辑过程中加入转场特技、蒙太奇效果、特效、多画面、画中画效果、视频画面调色等。</w:t>
      </w:r>
    </w:p>
    <w:p w14:paraId="7D7BBB3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字幕处理：为视频素材添加Logo、中/英文字幕、说明字幕、修饰字幕、滚动字幕、挂角字幕等等。字幕文件需使用独立的SRT格式的唱词文件。</w:t>
      </w:r>
    </w:p>
    <w:p w14:paraId="6712ECD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音频处理：为视频素材添加背景音乐、特效音乐、对口型配音、配乐等。</w:t>
      </w:r>
    </w:p>
    <w:p w14:paraId="309C21D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根据采购方的版权要求，整片除了学校Logo,不允许出现制作方任何形式的Logo或未经同意使用的其他具有版权争议的素材。视频内容不得有违法违规和意识形态问题。</w:t>
      </w:r>
    </w:p>
    <w:p w14:paraId="5A66F82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所有成片输出分辨率不低于1080P高清标准，成片、外挂字幕及相关素材统一打包，通过移动硬盘交付。</w:t>
      </w:r>
    </w:p>
    <w:p w14:paraId="32EFFE86">
      <w:pPr>
        <w:numPr>
          <w:ilvl w:val="0"/>
          <w:numId w:val="6"/>
        </w:numPr>
        <w:ind w:left="0" w:leftChars="0" w:firstLine="0" w:firstLineChars="0"/>
        <w:outlineLvl w:val="1"/>
        <w:rPr>
          <w:rFonts w:hint="eastAsia" w:ascii="宋体" w:hAnsi="宋体" w:eastAsia="宋体" w:cs="宋体"/>
          <w:b/>
          <w:bCs/>
          <w:sz w:val="22"/>
          <w:szCs w:val="22"/>
        </w:rPr>
      </w:pPr>
      <w:bookmarkStart w:id="96" w:name="_Toc9315"/>
      <w:bookmarkStart w:id="97" w:name="_Toc22429"/>
      <w:r>
        <w:rPr>
          <w:rFonts w:hint="eastAsia" w:ascii="宋体" w:hAnsi="宋体" w:eastAsia="宋体" w:cs="宋体"/>
          <w:b/>
          <w:bCs/>
          <w:sz w:val="22"/>
          <w:szCs w:val="22"/>
        </w:rPr>
        <w:t>课程知识库</w:t>
      </w:r>
      <w:bookmarkEnd w:id="96"/>
      <w:bookmarkEnd w:id="97"/>
    </w:p>
    <w:p w14:paraId="37C6963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对多类型文件解析：可对教材书籍、教学视频、教案课件、相关论文等多种文件格式进行解析，提取各类文件中的关键信息，实现知识资源的整合，为后续的知识管理与应用提供基础数据支持。</w:t>
      </w:r>
    </w:p>
    <w:p w14:paraId="01BA319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对海量字符解析：具备字符解析能力，能够处理百万级别的字符量，系统可对文档内容进行深度挖掘，精准识别语法结构、语义关系等，确保对文档知识的准确理解与提取，为知识体系的构建提供文档数据。</w:t>
      </w:r>
    </w:p>
    <w:p w14:paraId="050C7FD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图片提取：能够从各类资源中自动提取图片，提取数量可达数百张，提取后的图片可用于辅助知识呈现，为知识的可视化表达提供素材。</w:t>
      </w:r>
    </w:p>
    <w:p w14:paraId="50A216A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281FDC3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资源分类管理：可将资源按照知识图谱资源、课程总资源等不同类别进行划分与管理。在每个类别下，还能进一步细分不同主题，方便用户快速定位和查找。</w:t>
      </w:r>
    </w:p>
    <w:p w14:paraId="3DA4CFB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智能资源搜索：用户通过输入关键词、短语等方式，即可快速检索所需资源。系统具备智能匹配与精准定位能力，能够在海量资源中迅速筛选出相关资源，并按照相关性等因素进行排序展示，提升资源查找效率。</w:t>
      </w:r>
    </w:p>
    <w:p w14:paraId="4700070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便捷资源添加：设置资源添加模块，支持单次添加1G以内的资源，支持多种资源添加方式，包括但不限于视频、图谱、音频、PPT、文档。</w:t>
      </w:r>
    </w:p>
    <w:p w14:paraId="45F3458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资源数量与大小统计：清晰呈现各类资源的数量及大小信息，如各类型资源的数量以及对应的存储空间大小等。直观了解资源库的存储情况，便于进行资源管理、空间规划以及资源使用评估。</w:t>
      </w:r>
    </w:p>
    <w:p w14:paraId="1C9F029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资源详情查看：课程总资源模块包含视频、音频、图片、文档、PPT、教材书籍及其他多种资源类型。针对每种资源类型设置便捷的操作按钮，用户点击按钮后，可快速进入资源详情查看界面</w:t>
      </w:r>
      <w:r>
        <w:rPr>
          <w:rFonts w:ascii="宋体" w:hAnsi="宋体" w:eastAsia="宋体" w:cs="宋体"/>
          <w:sz w:val="22"/>
          <w:szCs w:val="22"/>
        </w:rPr>
        <w:t>，</w:t>
      </w:r>
      <w:r>
        <w:rPr>
          <w:rFonts w:hint="eastAsia" w:ascii="宋体" w:hAnsi="宋体" w:eastAsia="宋体" w:cs="宋体"/>
          <w:sz w:val="22"/>
          <w:szCs w:val="22"/>
        </w:rPr>
        <w:t>界面</w:t>
      </w:r>
      <w:r>
        <w:rPr>
          <w:rFonts w:ascii="宋体" w:hAnsi="宋体" w:eastAsia="宋体" w:cs="宋体"/>
          <w:sz w:val="22"/>
          <w:szCs w:val="22"/>
        </w:rPr>
        <w:t>包括但不限于资源名称、文件大小、创建时间、文件格式等。</w:t>
      </w:r>
    </w:p>
    <w:p w14:paraId="604EF50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文件资源预览：针对某一类资源类型下的单个具体资源进行预览查看操作，且可以查看该资源的处理状态、上传人、更新时间等信息。</w:t>
      </w:r>
    </w:p>
    <w:p w14:paraId="5B30EBC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知识库资源汇总展示：汇总展示知识库内各类资源数量，包括但不限于文件解析数、知识点同步数、字符解析数、图片提取数以及音视频时长。</w:t>
      </w:r>
    </w:p>
    <w:p w14:paraId="129958D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多样化资源展示形式：支持文档、图片、音视频等多种资源展示形式。系统根据不同资源类型的特点，采用相应的展示方式，如文档的高亮显示、音视频的倍速播放等，以适应不同用户的学习习惯和资源查看需求。</w:t>
      </w:r>
    </w:p>
    <w:p w14:paraId="5E4B445F">
      <w:pPr>
        <w:numPr>
          <w:ilvl w:val="0"/>
          <w:numId w:val="6"/>
        </w:numPr>
        <w:ind w:left="0" w:leftChars="0" w:firstLine="0" w:firstLineChars="0"/>
        <w:outlineLvl w:val="1"/>
        <w:rPr>
          <w:rFonts w:hint="eastAsia" w:ascii="宋体" w:hAnsi="宋体" w:eastAsia="宋体" w:cs="宋体"/>
          <w:b/>
          <w:bCs/>
          <w:sz w:val="22"/>
          <w:szCs w:val="22"/>
        </w:rPr>
      </w:pPr>
      <w:bookmarkStart w:id="98" w:name="_Toc29359"/>
      <w:bookmarkStart w:id="99" w:name="_Toc28030"/>
      <w:r>
        <w:rPr>
          <w:rFonts w:hint="eastAsia" w:ascii="宋体" w:hAnsi="宋体" w:eastAsia="宋体" w:cs="宋体"/>
          <w:b/>
          <w:bCs/>
          <w:sz w:val="22"/>
          <w:szCs w:val="22"/>
        </w:rPr>
        <w:t>教师教学及管理功能</w:t>
      </w:r>
      <w:bookmarkEnd w:id="98"/>
      <w:bookmarkEnd w:id="99"/>
    </w:p>
    <w:p w14:paraId="5E24CEE4">
      <w:pPr>
        <w:numPr>
          <w:ilvl w:val="0"/>
          <w:numId w:val="11"/>
        </w:numPr>
        <w:ind w:firstLine="442" w:firstLineChars="200"/>
        <w:outlineLvl w:val="2"/>
        <w:rPr>
          <w:rFonts w:hint="eastAsia" w:ascii="宋体" w:hAnsi="宋体" w:eastAsia="宋体" w:cs="宋体"/>
          <w:b/>
          <w:bCs/>
          <w:sz w:val="22"/>
          <w:szCs w:val="22"/>
        </w:rPr>
      </w:pPr>
      <w:bookmarkStart w:id="100" w:name="_Toc19174"/>
      <w:bookmarkStart w:id="101" w:name="_Toc14106"/>
      <w:r>
        <w:rPr>
          <w:rFonts w:hint="eastAsia" w:ascii="宋体" w:hAnsi="宋体" w:eastAsia="宋体" w:cs="宋体"/>
          <w:b/>
          <w:bCs/>
          <w:sz w:val="22"/>
          <w:szCs w:val="22"/>
        </w:rPr>
        <w:t>教学工作台</w:t>
      </w:r>
      <w:bookmarkEnd w:id="100"/>
      <w:bookmarkEnd w:id="101"/>
    </w:p>
    <w:p w14:paraId="3102B42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教师可快速开启教学管理活动，至少包括编辑课程内容、创建教学班级、发布教学任务、PPT智能备课、发布课后测验、学生成绩管理、课程教学观测、学生画像分析等活动。</w:t>
      </w:r>
    </w:p>
    <w:p w14:paraId="24A2961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以发布各类教学任务，至少包括知识点学习、作业测试、考试、话题讨论、通知公告、闯关模式学习、资源学习、题库、试卷库、课堂教学活动。各类任务完成情况可通过运行中、未开始、已结束三种类型进行观测。</w:t>
      </w:r>
    </w:p>
    <w:p w14:paraId="2042785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教师可以发布课前任务相关教学活动，学生需了解课前必须掌握的知识点内容及相关掌握情况，老师可实时查看知识点任务学习数据。</w:t>
      </w:r>
    </w:p>
    <w:p w14:paraId="6F451C6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统计教学班级情况，至少包括班级内的教学运行数据、教学运行周期数据、知识点平均掌握度与学习趋势、课程内全部知识点的掌握度情况与薄弱知识点情况。</w:t>
      </w:r>
    </w:p>
    <w:p w14:paraId="5E31593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搭建AI智慧空间：在AI智慧空间中统计本课程下相关智能体、课程特色AI指令、AI工具的总体使用情况，如：智能体总使用次数、建设学校、智能体的引导对话，同时统计本课程下所有智能体的累积使用次数。在课程特色AI指令中，构建不少于12个AI指令，统计每个AI指令总体的学习使用人次情况和所有AI指令累计使用次数。在AI工具中，构建不少于12个AI工具，并统计每个AI教学工具的使用次数。</w:t>
      </w:r>
    </w:p>
    <w:p w14:paraId="5AF9FF1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支持动态统计本课程中AI工具使用排行榜，每天动态获取用户常用AI工具，并通过排行榜帮助教师了解课程当前运行情况。</w:t>
      </w:r>
    </w:p>
    <w:p w14:paraId="7956E38D">
      <w:pPr>
        <w:numPr>
          <w:ilvl w:val="0"/>
          <w:numId w:val="7"/>
        </w:numPr>
        <w:ind w:left="0" w:firstLine="440" w:firstLineChars="200"/>
        <w:rPr>
          <w:rFonts w:hint="eastAsia" w:ascii="宋体" w:hAnsi="宋体" w:eastAsia="宋体" w:cs="宋体"/>
          <w:kern w:val="0"/>
          <w:sz w:val="22"/>
          <w:szCs w:val="22"/>
        </w:rPr>
      </w:pPr>
      <w:r>
        <w:rPr>
          <w:rFonts w:hint="eastAsia" w:ascii="宋体" w:hAnsi="宋体" w:eastAsia="宋体" w:cs="宋体"/>
          <w:sz w:val="22"/>
          <w:szCs w:val="22"/>
        </w:rPr>
        <w:t>支持问题收集管理：系统可收集班级内学生与</w:t>
      </w:r>
      <w:r>
        <w:rPr>
          <w:rFonts w:ascii="宋体" w:hAnsi="宋体" w:eastAsia="宋体" w:cs="宋体"/>
          <w:sz w:val="22"/>
          <w:szCs w:val="22"/>
        </w:rPr>
        <w:t>AI学伴</w:t>
      </w:r>
      <w:r>
        <w:rPr>
          <w:rFonts w:hint="eastAsia" w:ascii="宋体" w:hAnsi="宋体" w:eastAsia="宋体" w:cs="宋体"/>
          <w:sz w:val="22"/>
          <w:szCs w:val="22"/>
        </w:rPr>
        <w:t>的互动，收集内容包含提问者姓名、班级、问题记录、AI回复记录、评价等。</w:t>
      </w:r>
    </w:p>
    <w:p w14:paraId="3D189E2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成绩规则自定义设置：教师可通过多种维度进行成绩规则设置，如掌握度、学习进度、作业测验、考试、小组作业、签到出勤率、课堂活动、话题讨论、线下成绩等，上述所有维度均可设置百分比，便于综合评判教学效果。</w:t>
      </w:r>
    </w:p>
    <w:p w14:paraId="22A434B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掌握度与学习进度配置：教师可制定学习进度规则，如：仅必学资源计入计算、必学资源及选学资源均计入计算、都不计入等，同时也可设置免考知识点，设置完成后，该知识点不会计入到学生总体成绩评估。</w:t>
      </w:r>
    </w:p>
    <w:p w14:paraId="76A365CE">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生成图文结合的教学运行报告：教学运行报告需给予开课学校详细合理的分析，分析维度至少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r>
        <w:rPr>
          <w:rFonts w:hint="eastAsia" w:ascii="宋体" w:hAnsi="宋体" w:eastAsia="宋体" w:cs="宋体"/>
          <w:b/>
          <w:bCs/>
          <w:sz w:val="22"/>
          <w:szCs w:val="22"/>
        </w:rPr>
        <w:t>（</w:t>
      </w:r>
      <w:r>
        <w:rPr>
          <w:rFonts w:ascii="宋体" w:hAnsi="宋体" w:eastAsia="宋体" w:cs="宋体"/>
          <w:b/>
          <w:bCs/>
          <w:sz w:val="22"/>
          <w:szCs w:val="22"/>
        </w:rPr>
        <w:t>提供所投真实产品的功能截图证明材料并加盖供应商公章）</w:t>
      </w:r>
    </w:p>
    <w:p w14:paraId="5E0C87AD">
      <w:pPr>
        <w:numPr>
          <w:ilvl w:val="0"/>
          <w:numId w:val="7"/>
        </w:numPr>
        <w:ind w:left="0" w:firstLine="440" w:firstLineChars="200"/>
        <w:rPr>
          <w:rFonts w:hint="eastAsia" w:ascii="宋体" w:hAnsi="宋体" w:eastAsia="宋体" w:cs="宋体"/>
          <w:kern w:val="0"/>
          <w:sz w:val="22"/>
          <w:szCs w:val="22"/>
        </w:rPr>
      </w:pPr>
      <w:r>
        <w:rPr>
          <w:rFonts w:hint="eastAsia" w:ascii="宋体" w:hAnsi="宋体" w:eastAsia="宋体" w:cs="宋体"/>
          <w:sz w:val="22"/>
          <w:szCs w:val="22"/>
        </w:rPr>
        <w:t>支持</w:t>
      </w:r>
      <w:r>
        <w:rPr>
          <w:rFonts w:ascii="宋体" w:hAnsi="宋体" w:eastAsia="宋体" w:cs="宋体"/>
          <w:sz w:val="22"/>
          <w:szCs w:val="22"/>
        </w:rPr>
        <w:t>AI学伴</w:t>
      </w:r>
      <w:r>
        <w:rPr>
          <w:rFonts w:hint="eastAsia" w:ascii="宋体" w:hAnsi="宋体" w:eastAsia="宋体" w:cs="宋体"/>
          <w:sz w:val="22"/>
          <w:szCs w:val="22"/>
        </w:rPr>
        <w:t>根据班级实际学习情况，检索学习相对较差较难的知识点，协助教师挖掘课程教学的漏洞。</w:t>
      </w:r>
    </w:p>
    <w:p w14:paraId="3CE9DF3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w:t>
      </w:r>
      <w:r>
        <w:rPr>
          <w:rFonts w:ascii="宋体" w:hAnsi="宋体" w:eastAsia="宋体" w:cs="宋体"/>
          <w:sz w:val="22"/>
          <w:szCs w:val="22"/>
        </w:rPr>
        <w:t>AI学伴</w:t>
      </w:r>
      <w:r>
        <w:rPr>
          <w:rFonts w:hint="eastAsia" w:ascii="宋体" w:hAnsi="宋体" w:eastAsia="宋体" w:cs="宋体"/>
          <w:sz w:val="22"/>
          <w:szCs w:val="22"/>
        </w:rPr>
        <w:t>满意度分析，收集学生对课程</w:t>
      </w:r>
      <w:r>
        <w:rPr>
          <w:rFonts w:ascii="宋体" w:hAnsi="宋体" w:eastAsia="宋体" w:cs="宋体"/>
          <w:sz w:val="22"/>
          <w:szCs w:val="22"/>
        </w:rPr>
        <w:t>AI学伴</w:t>
      </w:r>
      <w:r>
        <w:rPr>
          <w:rFonts w:hint="eastAsia" w:ascii="宋体" w:hAnsi="宋体" w:eastAsia="宋体" w:cs="宋体"/>
          <w:sz w:val="22"/>
          <w:szCs w:val="22"/>
        </w:rPr>
        <w:t>的使用满意度，并进行满意度分析。</w:t>
      </w:r>
    </w:p>
    <w:p w14:paraId="3A3F448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件管理：在课件管理空间创建不同的文件夹，可分类上传保存课件，支持教师设置课件分享的范围，至少包括可共享至课程老师、私密查看两种保存形式，上传的课件可以作为资源学习任务发布给学生，也可以直接按照班级分享给学生进行学习。</w:t>
      </w:r>
    </w:p>
    <w:p w14:paraId="28353DD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支持教案管理：在教案管理空间创建不同的文件夹，可分类上传保存教案，支持教师设置教案分享的范围，至少包括可共享至课程老师、私密查看两种保存形式。</w:t>
      </w:r>
    </w:p>
    <w:p w14:paraId="1D926DE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上传的教学资源支持教师查看、移动文件夹、下载、删除等操作。</w:t>
      </w:r>
    </w:p>
    <w:p w14:paraId="5DF3531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支持教师直接调用AI工具创建课件及教案，丰富教学资源库。</w:t>
      </w:r>
    </w:p>
    <w:p w14:paraId="713AC3E6">
      <w:pPr>
        <w:numPr>
          <w:ilvl w:val="0"/>
          <w:numId w:val="11"/>
        </w:numPr>
        <w:ind w:firstLine="442" w:firstLineChars="200"/>
        <w:outlineLvl w:val="2"/>
        <w:rPr>
          <w:rFonts w:hint="eastAsia" w:ascii="宋体" w:hAnsi="宋体" w:eastAsia="宋体" w:cs="宋体"/>
          <w:b/>
          <w:bCs/>
          <w:sz w:val="22"/>
          <w:szCs w:val="22"/>
        </w:rPr>
      </w:pPr>
      <w:bookmarkStart w:id="102" w:name="_Toc28205"/>
      <w:bookmarkStart w:id="103" w:name="_Toc5041"/>
      <w:r>
        <w:rPr>
          <w:rFonts w:hint="eastAsia" w:ascii="宋体" w:hAnsi="宋体" w:eastAsia="宋体" w:cs="宋体"/>
          <w:b/>
          <w:bCs/>
          <w:sz w:val="22"/>
          <w:szCs w:val="22"/>
        </w:rPr>
        <w:t>教学管理</w:t>
      </w:r>
      <w:bookmarkEnd w:id="102"/>
      <w:bookmarkEnd w:id="103"/>
    </w:p>
    <w:p w14:paraId="7722004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支持分析每日学习情况简讯：包括今日学生上线数量、教师上线数量、教师团队建设数据（教授、副教授、讲师、助教等身份）、学生学习相关数据（学生学习总人次、参与学生人数、参与率）。</w:t>
      </w:r>
    </w:p>
    <w:p w14:paraId="53987C0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支持分析智慧课程运行成果：包括稳定运行时长、人均学习进度、平均掌握度、学生学习合格率等。</w:t>
      </w:r>
    </w:p>
    <w:p w14:paraId="51084DB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支持分析课程学习变化趋势：包括学习人次变化趋势、人均学习进度变化趋势、平均掌握度变化趋势、合格率变化趋势等。</w:t>
      </w:r>
    </w:p>
    <w:p w14:paraId="2EC9A0AC">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提供教师端教学和学生端学习小程序：学生可一键登录小程序进行学习，学习内容包含动态知识图谱查看、教学任务查看、知识点资源学习、知识点题目练习、考试题目练习等，其中小程序必须包含课程薄弱题练习系统，AI可根据学生当前学习状态推荐错题、收藏题目、相关知识点等内容，在小程序中观看教师推送的教学课件，可进入到课堂教学参与问卷、投票、抢答、头脑风暴等。同时支持教师通过教学小程序一键控制PPT插件内容，包括课堂教学与学生管理，其中课堂教学可进行签到、点名、投票、抢答等相关操作与记录，并且可将教学内容投屏到电脑中进行教学，同时教师可对学生进行统一管理，管理范围包括预览班级中所有学生的姓名、学号、院校、身份与入班时间，查看学生每一位学生的知识点掌握度、学习进度等信息。</w:t>
      </w:r>
    </w:p>
    <w:p w14:paraId="69058A1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组教学完成课程活动，分组教学模式包含随机分组、教师分组、学生自由分组。随机分组中，用户可设置小组数量，系统根据小组数量动态分布学生完成分组；教师分组时，教师可选择小组数量，系统会自动评估在当前分组中每个组的预计人员数量，并且可设置小组组长；学生自由分组时，在老师的规定时间内，组长可在系统中先自建小组口令，进入小组后，将口令分享给组员，组员录入口令后即可进入小组完成组队。教师以组为单位分配作业任务、安排课堂活动和收集学生作业。</w:t>
      </w:r>
    </w:p>
    <w:p w14:paraId="77454E0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支持课程学生管理：支持导入学生名单，可查看导入失败学生名单，方便老师联系学生及时注册认证用户。可移除导入错误的学生。</w:t>
      </w:r>
    </w:p>
    <w:p w14:paraId="025D456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运行总体数据统计：可查看课程学习的学生数量、课程的人均学习进度、全部学生已学内容掌握度和平均值等数据，并且分析出各个同学各阶段的合格率情况、人均学习进度分布与平均掌握度分布等情况。</w:t>
      </w:r>
    </w:p>
    <w:p w14:paraId="7D3E429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支持查看学生学习详情：可查看课程内的每位学生的学习详情，包含学生加入课程的时间、课程内知识点的学习进度以及已学内容的掌握度。</w:t>
      </w:r>
    </w:p>
    <w:p w14:paraId="7854291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支持查看知识点学习详情：可查看每个知识点的学生完成率以及近一周的提升情况，可查看每个知识点的平均掌握度以及不同范围掌握度的学生分布情况。</w:t>
      </w:r>
    </w:p>
    <w:p w14:paraId="086F9BC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学生个人分析报告：可查看学生的所有知识点学习的平均掌握度、资料总学习时长、总练习时长、总练习次数。可查看学生对每个知识点学习的掌握度以及班级的平均掌握度。可查看学生对每个知识点的资料学习时长、练习时长、练习次数。</w:t>
      </w:r>
    </w:p>
    <w:p w14:paraId="4E27D61D">
      <w:pPr>
        <w:numPr>
          <w:ilvl w:val="0"/>
          <w:numId w:val="11"/>
        </w:numPr>
        <w:ind w:firstLine="442" w:firstLineChars="200"/>
        <w:outlineLvl w:val="2"/>
        <w:rPr>
          <w:rFonts w:hint="eastAsia" w:ascii="宋体" w:hAnsi="宋体" w:eastAsia="宋体" w:cs="宋体"/>
          <w:b/>
          <w:bCs/>
          <w:sz w:val="22"/>
          <w:szCs w:val="22"/>
        </w:rPr>
      </w:pPr>
      <w:bookmarkStart w:id="104" w:name="_Toc18436"/>
      <w:bookmarkStart w:id="105" w:name="_Toc6425"/>
      <w:r>
        <w:rPr>
          <w:rFonts w:hint="eastAsia" w:ascii="宋体" w:hAnsi="宋体" w:eastAsia="宋体" w:cs="宋体"/>
          <w:b/>
          <w:bCs/>
          <w:sz w:val="22"/>
          <w:szCs w:val="22"/>
        </w:rPr>
        <w:t>PPT插件备课及网页端教学</w:t>
      </w:r>
      <w:bookmarkEnd w:id="104"/>
      <w:bookmarkEnd w:id="105"/>
    </w:p>
    <w:p w14:paraId="31BD056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PPT插件，支持在教学PPT中一键插入智慧课程资源（知识点/资源/题目/视频/问题点），用于教师日常备课，可上传课件库并在网页端进行授课，支持从共享/个人课件库及本地导入课件，学生端同步查看课件翻页。教师端调用课堂互动工具（签到/点名/抢答/投票/问卷/头脑风暴）并查看情况，学生端实时接收互动提醒。</w:t>
      </w:r>
      <w:r>
        <w:rPr>
          <w:rFonts w:hint="eastAsia" w:ascii="宋体" w:hAnsi="宋体" w:eastAsia="宋体" w:cs="宋体"/>
          <w:b/>
          <w:bCs/>
          <w:sz w:val="22"/>
          <w:szCs w:val="22"/>
        </w:rPr>
        <w:t>（供应商提供真实系统现场演示）</w:t>
      </w:r>
    </w:p>
    <w:p w14:paraId="45B7FB2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教师在PPT播放页面中点击插入的知识点按钮，可打开知识点内容进行教学。教师在PPT播放页面中点击插入的问题卡片按钮，可打开问题内容进行教学。</w:t>
      </w:r>
    </w:p>
    <w:p w14:paraId="393371D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教师可查看发布的随堂测验的答题情况，包括题目的参与人数、正确率、每个选项选择的人数，以及每位参与同学的答题记录。</w:t>
      </w:r>
    </w:p>
    <w:p w14:paraId="0797E20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教师可查看发布的课堂签到记录，包括已签到学生的姓名、学号、签到时间，以及未签到学生的姓名和学号。</w:t>
      </w:r>
    </w:p>
    <w:p w14:paraId="5BA5771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教师可点击PPT插件中的随机点名，系统根据班级中已经签到的学生进行随机抽取点名。教师可查看发布的课堂点名记录，包括已点名学生的姓名、学号、点名时间。</w:t>
      </w:r>
    </w:p>
    <w:p w14:paraId="43E60792">
      <w:pPr>
        <w:numPr>
          <w:ilvl w:val="0"/>
          <w:numId w:val="11"/>
        </w:numPr>
        <w:ind w:firstLine="442" w:firstLineChars="200"/>
        <w:outlineLvl w:val="2"/>
        <w:rPr>
          <w:rFonts w:hint="eastAsia" w:ascii="宋体" w:hAnsi="宋体" w:eastAsia="宋体" w:cs="宋体"/>
          <w:b/>
          <w:bCs/>
          <w:sz w:val="22"/>
          <w:szCs w:val="22"/>
        </w:rPr>
      </w:pPr>
      <w:bookmarkStart w:id="106" w:name="_Toc8455"/>
      <w:bookmarkStart w:id="107" w:name="_Toc22819"/>
      <w:r>
        <w:rPr>
          <w:rFonts w:hint="eastAsia" w:ascii="宋体" w:hAnsi="宋体" w:eastAsia="宋体" w:cs="宋体"/>
          <w:b/>
          <w:bCs/>
          <w:sz w:val="22"/>
          <w:szCs w:val="22"/>
        </w:rPr>
        <w:t>课堂教学设计</w:t>
      </w:r>
      <w:bookmarkEnd w:id="106"/>
      <w:bookmarkEnd w:id="107"/>
    </w:p>
    <w:p w14:paraId="40DE2A4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支持为课程进行教学设计，包含课堂教学主题、授课老师、教学目标、知识点数量、案例设计、问题关联、思政点关联，设置完成后可形成课堂教学维度下的知识体系。</w:t>
      </w:r>
    </w:p>
    <w:p w14:paraId="2970BF0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支持管理教学设计，可设置课堂教学设计发布、编辑、重命名、删除等操作，课堂设计发布后，可同步发布时间。</w:t>
      </w:r>
    </w:p>
    <w:p w14:paraId="2810BB2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支持关联多种教学设计模板，根据实际教学需求，导入适用于课堂的教学设计模板，并根据教学设计模板完成后续课堂编排演绎等流程。</w:t>
      </w:r>
    </w:p>
    <w:p w14:paraId="64AC419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设置课堂教案基础信息，包含教案名称、学时、教学模式、教学目标、与课堂开始时间，其中教学目标可设置知识点学习目标、素质学习目标与能力学习目标等，同时课堂设计可关联核心知识点、延展知识点、关联案例、关联问题、关联能力、概述等内容。</w:t>
      </w:r>
    </w:p>
    <w:p w14:paraId="5490D27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支持设置课堂教学中的课前活动，根据课前需要插入教学任务，如知识点学习、案例、问题、作业、考试、话题讨论、资源学习、公告、智慧测评等，并可在各个环节中插入相关资源辅助内容学习。</w:t>
      </w:r>
    </w:p>
    <w:p w14:paraId="1B2F94E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支持课堂设计，根据课堂需要插入教学目标、教学资源、教学任务等，支持在课堂中随时调用打开课堂设计资源内容，开始课堂教学。</w:t>
      </w:r>
    </w:p>
    <w:p w14:paraId="5CF7675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支持课后作业设计，在课后设计中针对教学需要添加作业、考试、话题讨论、并根据教学情况进行动态教学分析。</w:t>
      </w:r>
    </w:p>
    <w:p w14:paraId="320B907D">
      <w:pPr>
        <w:numPr>
          <w:ilvl w:val="0"/>
          <w:numId w:val="6"/>
        </w:numPr>
        <w:ind w:left="0" w:leftChars="0" w:firstLine="0" w:firstLineChars="0"/>
        <w:outlineLvl w:val="1"/>
        <w:rPr>
          <w:rFonts w:hint="eastAsia" w:ascii="宋体" w:hAnsi="宋体" w:eastAsia="宋体" w:cs="宋体"/>
          <w:b/>
          <w:bCs/>
          <w:sz w:val="22"/>
          <w:szCs w:val="22"/>
        </w:rPr>
      </w:pPr>
      <w:bookmarkStart w:id="108" w:name="_Toc19659"/>
      <w:bookmarkStart w:id="109" w:name="_Toc17345"/>
      <w:r>
        <w:rPr>
          <w:rFonts w:hint="eastAsia" w:ascii="宋体" w:hAnsi="宋体" w:eastAsia="宋体" w:cs="宋体"/>
          <w:b/>
          <w:bCs/>
          <w:sz w:val="22"/>
          <w:szCs w:val="22"/>
        </w:rPr>
        <w:t>教师AI应用服务</w:t>
      </w:r>
      <w:bookmarkEnd w:id="108"/>
      <w:bookmarkEnd w:id="109"/>
    </w:p>
    <w:p w14:paraId="34F683B5">
      <w:pPr>
        <w:numPr>
          <w:ilvl w:val="0"/>
          <w:numId w:val="12"/>
        </w:numPr>
        <w:ind w:firstLine="442" w:firstLineChars="200"/>
        <w:outlineLvl w:val="2"/>
        <w:rPr>
          <w:rFonts w:hint="eastAsia" w:ascii="宋体" w:hAnsi="宋体" w:eastAsia="宋体" w:cs="宋体"/>
          <w:b/>
          <w:bCs/>
          <w:sz w:val="22"/>
          <w:szCs w:val="22"/>
        </w:rPr>
      </w:pPr>
      <w:bookmarkStart w:id="110" w:name="_Toc13305"/>
      <w:bookmarkStart w:id="111" w:name="_Toc25397"/>
      <w:r>
        <w:rPr>
          <w:rFonts w:hint="eastAsia" w:ascii="宋体" w:hAnsi="宋体" w:eastAsia="宋体" w:cs="宋体"/>
          <w:b/>
          <w:bCs/>
          <w:sz w:val="22"/>
          <w:szCs w:val="22"/>
        </w:rPr>
        <w:t>课程特色AI指令</w:t>
      </w:r>
      <w:bookmarkEnd w:id="110"/>
      <w:bookmarkEnd w:id="111"/>
    </w:p>
    <w:p w14:paraId="47F69EF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提供快捷指令，包含通用快捷指令和自定义快捷指令，支持按照指令分组进行分类筛选查看，同时支持进入指令中心管理界面进行指令的查找。</w:t>
      </w:r>
    </w:p>
    <w:p w14:paraId="399224A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通过检索框输入关键词检索指令，支持关键词在指令的名称及描述内容范围内检索，进行精确匹配。</w:t>
      </w:r>
    </w:p>
    <w:p w14:paraId="2C179FB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支持在指令管理中心设置新的分类，打造个性化指令库，每个分类下自动统计指令数量。点击具体指令，可跳转对应的指令提问页面直接使用。</w:t>
      </w:r>
    </w:p>
    <w:p w14:paraId="03F55D0A">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能够在各指令分组下创建个人专属课程特色指令，支持两种指令创建模式，一是简单指令，支持输入指令标题及指令内容描述，形成标准化固定问题，引用时可直接点击发送提问；二是复杂指令，支持在标准指令的基础上增加变量的输入，形成半开放式引导性问题，引用时可自定义替换变量内容后发送提问，支持个性化的提问方式。支持教师创建指令后选择是否将指令对学生开放使用，辅助学生问题导向性学习。</w:t>
      </w:r>
    </w:p>
    <w:p w14:paraId="0607D9D2">
      <w:pPr>
        <w:numPr>
          <w:ilvl w:val="0"/>
          <w:numId w:val="12"/>
        </w:numPr>
        <w:ind w:firstLine="442" w:firstLineChars="200"/>
        <w:outlineLvl w:val="2"/>
        <w:rPr>
          <w:rFonts w:hint="eastAsia" w:ascii="宋体" w:hAnsi="宋体" w:eastAsia="宋体" w:cs="宋体"/>
          <w:b/>
          <w:bCs/>
          <w:sz w:val="22"/>
          <w:szCs w:val="22"/>
        </w:rPr>
      </w:pPr>
      <w:bookmarkStart w:id="112" w:name="_Toc21106"/>
      <w:bookmarkStart w:id="113" w:name="_Toc2141"/>
      <w:r>
        <w:rPr>
          <w:rFonts w:hint="eastAsia" w:ascii="宋体" w:hAnsi="宋体" w:eastAsia="宋体" w:cs="宋体"/>
          <w:b/>
          <w:bCs/>
          <w:sz w:val="22"/>
          <w:szCs w:val="22"/>
        </w:rPr>
        <w:t>课程智能体</w:t>
      </w:r>
      <w:bookmarkEnd w:id="112"/>
      <w:bookmarkEnd w:id="113"/>
    </w:p>
    <w:p w14:paraId="2F965F7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结合课程内容自动构建专属智能体，也支持教师选择对话情景模板快速创建智能体。支持设置场景对话模版及考核评分标准，对话界面支持自定义对话框颜色及背景，设置完成后可进行对话界面的预览。</w:t>
      </w:r>
      <w:r>
        <w:rPr>
          <w:rFonts w:hint="eastAsia" w:ascii="宋体" w:hAnsi="宋体" w:eastAsia="宋体" w:cs="宋体"/>
          <w:b/>
          <w:bCs/>
          <w:sz w:val="22"/>
          <w:szCs w:val="22"/>
        </w:rPr>
        <w:t>（</w:t>
      </w:r>
      <w:r>
        <w:rPr>
          <w:rFonts w:ascii="宋体" w:hAnsi="宋体" w:eastAsia="宋体" w:cs="宋体"/>
          <w:b/>
          <w:bCs/>
          <w:sz w:val="22"/>
          <w:szCs w:val="22"/>
        </w:rPr>
        <w:t>提供所投真实产品的功能截图证明材料并加盖供应商公章）</w:t>
      </w:r>
    </w:p>
    <w:p w14:paraId="30707AF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支持接入第三方智能体，可设置智能体个性化头像、创建人、智能体简介、智能体链接；支持设置智能体使用权限，例如支持版本内所有教师均可编辑、创建者可编辑。</w:t>
      </w:r>
    </w:p>
    <w:p w14:paraId="4C3BF453">
      <w:pPr>
        <w:numPr>
          <w:ilvl w:val="0"/>
          <w:numId w:val="7"/>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支持设置课程智能体自定义技能，可设置智能体简介、开场白、不少于3个引导问题、智能体设定描述不低于5000字、智能体关联的知识库范围。支持与课程图谱引擎相关联，包括知识图谱、问题图谱、课程能力目标、学术资源推荐、网络资源推荐、思维导图等，用户可选择设置的回复模型不低于4个。支持发布前的调试与预览功能，允许用户在正式发布前进行调整、查看效果。支持设置编辑、使用权限。支持配置选择自定义创建的智能体是否共享至智能体广场，可共享到指定分类下。</w:t>
      </w:r>
      <w:r>
        <w:rPr>
          <w:rFonts w:hint="eastAsia" w:ascii="宋体" w:hAnsi="宋体" w:eastAsia="宋体" w:cs="宋体"/>
          <w:b/>
          <w:bCs/>
          <w:sz w:val="22"/>
          <w:szCs w:val="22"/>
        </w:rPr>
        <w:t>（供应商提供真实系统现场演示）</w:t>
      </w:r>
    </w:p>
    <w:p w14:paraId="682B0E9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设置智能体测评任务，选定智能体后设置任务名称，选择发布班级、设定任务起止时间，通知方式支持小程序、短信、小程序和短信或不通知，支持设置允许重复练习的次数，也可不限制次数，支持设置任务满分值和计分标准，支持根据分数进行评级，可自定义添加评分等级分数要求、评级名称。支持查看学生的任务完成详情，包括已参与人数、未参与人数、每个学生的评测次数、成绩和评级。</w:t>
      </w:r>
      <w:r>
        <w:rPr>
          <w:rFonts w:hint="eastAsia" w:ascii="宋体" w:hAnsi="宋体" w:eastAsia="宋体" w:cs="宋体"/>
          <w:b/>
          <w:bCs/>
          <w:sz w:val="22"/>
          <w:szCs w:val="22"/>
        </w:rPr>
        <w:t>（</w:t>
      </w:r>
      <w:r>
        <w:rPr>
          <w:rFonts w:ascii="宋体" w:hAnsi="宋体" w:eastAsia="宋体" w:cs="宋体"/>
          <w:b/>
          <w:bCs/>
          <w:sz w:val="22"/>
          <w:szCs w:val="22"/>
        </w:rPr>
        <w:t>提供所投真实产品的功能截图证明材料并加盖供应商公章）</w:t>
      </w:r>
    </w:p>
    <w:p w14:paraId="1E125EC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w:t>
      </w:r>
      <w:r>
        <w:rPr>
          <w:rFonts w:ascii="宋体" w:hAnsi="宋体" w:eastAsia="宋体" w:cs="宋体"/>
          <w:sz w:val="22"/>
          <w:szCs w:val="22"/>
        </w:rPr>
        <w:t>智能体展示广场，集中呈现平台中广受认可和高频使用的优质智能体资源。支持实时公开智能体核心交互数据，包括智能体的总对话次数和当前活跃使用人数。教师可引用平台中展示的智能体，在引用时，智能体的使用数据会反馈统计到智能体来源课程中</w:t>
      </w:r>
      <w:r>
        <w:rPr>
          <w:rFonts w:hint="eastAsia" w:ascii="宋体" w:hAnsi="宋体" w:eastAsia="宋体" w:cs="宋体"/>
          <w:sz w:val="22"/>
          <w:szCs w:val="22"/>
        </w:rPr>
        <w:t>。</w:t>
      </w:r>
    </w:p>
    <w:p w14:paraId="6716C603">
      <w:pPr>
        <w:numPr>
          <w:ilvl w:val="0"/>
          <w:numId w:val="12"/>
        </w:numPr>
        <w:ind w:firstLine="442" w:firstLineChars="200"/>
        <w:outlineLvl w:val="2"/>
        <w:rPr>
          <w:rFonts w:hint="eastAsia" w:ascii="宋体" w:hAnsi="宋体" w:eastAsia="宋体" w:cs="宋体"/>
          <w:b/>
          <w:bCs/>
          <w:sz w:val="22"/>
          <w:szCs w:val="22"/>
        </w:rPr>
      </w:pPr>
      <w:bookmarkStart w:id="114" w:name="_Toc27562"/>
      <w:bookmarkStart w:id="115" w:name="_Toc22155"/>
      <w:r>
        <w:rPr>
          <w:rFonts w:hint="eastAsia" w:ascii="宋体" w:hAnsi="宋体" w:eastAsia="宋体" w:cs="宋体"/>
          <w:b/>
          <w:bCs/>
          <w:sz w:val="22"/>
          <w:szCs w:val="22"/>
        </w:rPr>
        <w:t>AI工具应用服务</w:t>
      </w:r>
      <w:bookmarkEnd w:id="114"/>
      <w:bookmarkEnd w:id="115"/>
    </w:p>
    <w:p w14:paraId="43FFC96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知识点推荐相关学术资源，包括但不限于视频、论文、学术报告等。AI能够实现对公开领域及第三方资源的搜索与发现，如校外慕课、学术文献、网站资源等，用户点击可快速跳转至相关链接。支持可以实现推荐来源的个性化设置，用户可自主选择推荐内容的来源，并定制常用网站的关注模块。</w:t>
      </w:r>
    </w:p>
    <w:p w14:paraId="7D0463F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支持从既往发布的作业测验、学习任务或话题讨论中提取学生作业或考试内容，AI分析其重复率，从而实现学习行为的监测与评估。</w:t>
      </w:r>
    </w:p>
    <w:p w14:paraId="1664585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总结用户在一周内的教学和AI使用情况，包括AI指令、AI工具及智能体的使用频率，以及教学任务发布与课堂表现数据。总结需指出用户在课堂互动和传统教学方式中可能存在的利用不足，并支持自由检索查看往期周报，能够根据既往和当前周内数据提出优化教学的建议。</w:t>
      </w:r>
    </w:p>
    <w:p w14:paraId="1E78F636">
      <w:pPr>
        <w:numPr>
          <w:ilvl w:val="0"/>
          <w:numId w:val="7"/>
        </w:numPr>
        <w:ind w:left="0" w:firstLine="440" w:firstLineChars="200"/>
        <w:rPr>
          <w:rFonts w:hint="eastAsia" w:ascii="宋体" w:hAnsi="宋体" w:eastAsia="宋体" w:cs="宋体"/>
          <w:sz w:val="22"/>
          <w:szCs w:val="22"/>
        </w:rPr>
      </w:pPr>
      <w:r>
        <w:rPr>
          <w:rFonts w:ascii="宋体" w:hAnsi="宋体" w:eastAsia="宋体" w:cs="宋体"/>
          <w:sz w:val="22"/>
          <w:szCs w:val="22"/>
        </w:rPr>
        <w:t>支持AI一键生成知识点思政案例</w:t>
      </w:r>
      <w:r>
        <w:rPr>
          <w:rFonts w:hint="eastAsia" w:ascii="宋体" w:hAnsi="宋体" w:eastAsia="宋体" w:cs="宋体"/>
          <w:sz w:val="22"/>
          <w:szCs w:val="22"/>
        </w:rPr>
        <w:t>，可查看详情内容，包含案例序号、与知识点结合的案例名称、详细文本内容描述、思政元素的分点提炼与逐点论证说明，以及教学价值的分点分析。支持思政案例以word格式一键导出，可进行二次编辑。</w:t>
      </w:r>
      <w:r>
        <w:rPr>
          <w:rFonts w:ascii="宋体" w:hAnsi="宋体" w:eastAsia="宋体" w:cs="宋体"/>
          <w:sz w:val="22"/>
          <w:szCs w:val="22"/>
        </w:rPr>
        <w:t>支持查看一个月内AI生成思政案例的历史记录，包括思政点及内容预览。</w:t>
      </w:r>
    </w:p>
    <w:p w14:paraId="7AEA229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出题，实现根据知识点及参考内容两种出题模式。在知识点出题模式下，支持教师选择课程知识点，系统参考知识点教学内容生成相关的题目，该出题模式支持普通模式、知识库模式两种模式；在参考内容出题模式下，支持自定义的文本描述或上传的参考资料，基于相关内容生成题目。两种出题模式皆支持单选题、多选题、判断题、填空题四种题型下的单一题型出题及混合式题型出题。出题不合适可一键切换模式生成全新题目。</w:t>
      </w:r>
    </w:p>
    <w:p w14:paraId="6A4D273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所有题目或单个题目均支持重新生成和加入题库，点击加入题库时可对题干、答案、解析、类型、难度、相关知识点、标签进行编辑或设置，同时支持跳过此题、保存并退出、保存并添加下一题三种操作。支持题目均一键导出与二次编辑。</w:t>
      </w:r>
      <w:r>
        <w:rPr>
          <w:rFonts w:hint="eastAsia" w:ascii="宋体" w:hAnsi="宋体" w:eastAsia="宋体" w:cs="宋体"/>
          <w:b/>
          <w:bCs/>
          <w:sz w:val="22"/>
          <w:szCs w:val="22"/>
        </w:rPr>
        <w:t>（</w:t>
      </w:r>
      <w:r>
        <w:rPr>
          <w:rFonts w:ascii="宋体" w:hAnsi="宋体" w:eastAsia="宋体" w:cs="宋体"/>
          <w:b/>
          <w:bCs/>
          <w:sz w:val="22"/>
          <w:szCs w:val="22"/>
        </w:rPr>
        <w:t>提供所投真实产品的功能截图证明材料并加盖供应商公章）</w:t>
      </w:r>
    </w:p>
    <w:p w14:paraId="29172AD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批阅功能跳转至课程题库，通过手动新增、Word导入、Excel导入三种形式新增题目，支持进行试题的标签管理、题目去重、OCR识别、试题导出，导出试题支持以Excel形式下载保存在本地。同时支持通过题目ID、题目关键词、试题类型、试题标签、审批人、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如AI会对每一个采分点给出评语与对应分数，同时AI会基于当前答案给予建议分数，并给出合理理由，用户可根据需求对分数进行调整。</w:t>
      </w:r>
    </w:p>
    <w:p w14:paraId="1162360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支持根据输入内容整合并分析海量的科研数据，包括各大论文库中的研究成果，提取出关键的科学知识点，并根据其被引用频率、研究热度等指标进行权重排序。</w:t>
      </w:r>
    </w:p>
    <w:p w14:paraId="1E71D99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支持统计并分析特定主题或关键词下的论文数量，以及这些论文的来源、作者、机构等详细信息。AI还能够根据用户的兴趣和研究方向，智能推荐相关的电子书资源。</w:t>
      </w:r>
    </w:p>
    <w:p w14:paraId="7C6BBD1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创建PPT，可以通过勾选知识点、新增上传文件、生成教案进行一键PPT生成。知识点列表路径，可查询完整章节及知识点名称，并能够以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4008257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支持根据不同内容来源，AI梳理形成PPT构建大纲，分层级进行结构化的完整展示；支持以层级为单位进行拖拽，以及对各层级内容进行自由编辑，并实现编辑的即时自动保存。</w:t>
      </w:r>
    </w:p>
    <w:p w14:paraId="25D9FB1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AI生成PPT进行管理，对于整体不合适的进行一键删除，并配备二次确认防止误删，对于基本符合预期的内容可一键整体导出PPT格式实现二次编辑；支持同步留存历史生成记录，查看历史生成内容的名称、效果及更新时间。</w:t>
      </w:r>
    </w:p>
    <w:p w14:paraId="1EC4289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列表查询课程已建设知识模块，勾选单个或多个目标，结合课程性质和目标设定，选择理论概念、方法推导、案例解析、时政热点不同的问题偏好，一键生成场景问题集；支持查看历史生成记录，包括模块名称及内容预览。</w:t>
      </w:r>
    </w:p>
    <w:p w14:paraId="2576DDF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支持AI自动构建知识点教案，针对教学目标、教学重点难点、教学内容、教学方法、案例引入、扩展阅读、知识点测评等内容一键进行自动构建，每类信息自动构建不少于3条。</w:t>
      </w:r>
    </w:p>
    <w:p w14:paraId="22AEEC5A">
      <w:pPr>
        <w:numPr>
          <w:ilvl w:val="0"/>
          <w:numId w:val="6"/>
        </w:numPr>
        <w:ind w:left="0" w:leftChars="0" w:firstLine="0" w:firstLineChars="0"/>
        <w:outlineLvl w:val="1"/>
        <w:rPr>
          <w:rFonts w:hint="eastAsia" w:ascii="宋体" w:hAnsi="宋体" w:eastAsia="宋体" w:cs="宋体"/>
          <w:b/>
          <w:bCs/>
          <w:sz w:val="22"/>
          <w:szCs w:val="22"/>
        </w:rPr>
      </w:pPr>
      <w:bookmarkStart w:id="116" w:name="_Toc12298"/>
      <w:bookmarkStart w:id="117" w:name="_Toc5023"/>
      <w:r>
        <w:rPr>
          <w:rFonts w:hint="eastAsia" w:ascii="宋体" w:hAnsi="宋体" w:eastAsia="宋体" w:cs="宋体"/>
          <w:b/>
          <w:bCs/>
          <w:sz w:val="22"/>
          <w:szCs w:val="22"/>
        </w:rPr>
        <w:t>学生学习及AI伴学功能</w:t>
      </w:r>
      <w:bookmarkEnd w:id="116"/>
      <w:bookmarkEnd w:id="117"/>
    </w:p>
    <w:p w14:paraId="3D4199D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学生可以观看全部的知识点内容学习，也可以根据个人意愿自主选择知识点内容学习，也能够根据老师设定的推荐学习路径进行学习。</w:t>
      </w:r>
    </w:p>
    <w:p w14:paraId="22B44F5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知识点练习：学生可针对每个知识点进行题目专项练习，并通过系统自动批阅换算出学生对于知识点掌握的情况，给予学生响应反馈。</w:t>
      </w:r>
    </w:p>
    <w:p w14:paraId="019835C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学生个人学习数据查看：学生可查看当前课程的学习进度以及已学内容的平均掌握度。</w:t>
      </w:r>
    </w:p>
    <w:p w14:paraId="2CED9CD1">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支持AI课程视频导览：支持AI对教学视频进行智能切片解析，自动生成分段视频</w:t>
      </w:r>
      <w:r>
        <w:rPr>
          <w:rFonts w:hint="eastAsia" w:ascii="宋体" w:hAnsi="宋体" w:eastAsia="宋体" w:cs="宋体"/>
          <w:sz w:val="22"/>
          <w:szCs w:val="22"/>
          <w:lang w:val="en-US" w:eastAsia="zh-CN"/>
        </w:rPr>
        <w:t>的</w:t>
      </w:r>
      <w:r>
        <w:rPr>
          <w:rFonts w:hint="eastAsia" w:ascii="宋体" w:hAnsi="宋体" w:eastAsia="宋体" w:cs="宋体"/>
          <w:sz w:val="22"/>
          <w:szCs w:val="22"/>
        </w:rPr>
        <w:t>摘要标题及内容简介，并标注分段的起始时长。</w:t>
      </w:r>
    </w:p>
    <w:p w14:paraId="3B71B37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对学习视频内不理解的内容可直接进行举手提问操作，举手后系统自动截取当前视频页面，并自动发送给AI学伴进行提问，AI学伴会调取知识库内容进行答疑解释。支持学生选择语音播放回答内容、重新生成回答、复制回答、点赞、点踩等操作，AI学伴的声音、形象可设置为授课老师的数字人形象。</w:t>
      </w:r>
      <w:r>
        <w:rPr>
          <w:rFonts w:hint="eastAsia" w:ascii="宋体" w:hAnsi="宋体" w:eastAsia="宋体" w:cs="宋体"/>
          <w:b/>
          <w:bCs/>
          <w:sz w:val="22"/>
          <w:szCs w:val="22"/>
        </w:rPr>
        <w:t>（供应商提供真实系统现场演示）</w:t>
      </w:r>
    </w:p>
    <w:p w14:paraId="590447E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AI学伴实时问答功能：AI学伴可根据学生提问内容，智能匹配最优相关答案并关联学习资源，通过AI学伴实时交互解答学生问题，实现智能互动教学。</w:t>
      </w:r>
    </w:p>
    <w:p w14:paraId="489484E3">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学生调用AI指令进行快速提问，可通过替换指令内的关键命令进行个性化需求的提问，平台提供不少于10个默认AI指令。</w:t>
      </w:r>
    </w:p>
    <w:p w14:paraId="4515DC3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支持跨校资源推荐的快捷操作，AI学伴完成讲解后自动推荐内外部高校的相关知识点教学资源，点击可直接跳转查看推荐资源。</w:t>
      </w:r>
    </w:p>
    <w:p w14:paraId="1A8E37C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支持视频解读的快捷操作，AI学伴自动提炼当前视频中的重要内容和关键信息，提供详细说明并推荐内外部高校学习资源，点击可直接跳转查看推荐资源。</w:t>
      </w:r>
    </w:p>
    <w:p w14:paraId="36AAB57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支持AI学伴提供陪练，支持根据学生学习进度及当前学习的知识内容进行出题，支持自定义难度、题型与题目数量，学生提交回答后系统需自动批改，提供正确答案及解析。</w:t>
      </w:r>
    </w:p>
    <w:p w14:paraId="5147E90B">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知识点学习路径的快捷操作，AI基于知识库为学生提供当前知识点的学习路径，用可视化图谱形式呈现当前知识点前后关联支撑的知识点，支持点击跳转至知识点路径上任一知识点详情页，学生可查看知识点描述、资源、掌握度、关联的能力及达成度情况，可以直接去提升知识点掌握度。</w:t>
      </w:r>
    </w:p>
    <w:p w14:paraId="237CB6B8">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支持学生与智能体进行互动，每个智能体提供指导问题，学生觉得不合适的知识通过换一换切换问题。</w:t>
      </w:r>
    </w:p>
    <w:p w14:paraId="365BDCF0">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支持通过语音输入与智能体进行对话，智能体回答问题</w:t>
      </w:r>
      <w:r>
        <w:rPr>
          <w:rFonts w:hint="eastAsia" w:ascii="宋体" w:hAnsi="宋体" w:eastAsia="宋体" w:cs="宋体"/>
          <w:sz w:val="22"/>
          <w:szCs w:val="22"/>
          <w:lang w:eastAsia="zh-CN"/>
        </w:rPr>
        <w:t>时</w:t>
      </w:r>
      <w:r>
        <w:rPr>
          <w:rFonts w:hint="eastAsia" w:ascii="宋体" w:hAnsi="宋体" w:eastAsia="宋体" w:cs="宋体"/>
          <w:sz w:val="22"/>
          <w:szCs w:val="22"/>
        </w:rPr>
        <w:t>自动查询关联知识点及关联问题图谱，并优先展示，支持点击跳转至对应知识点及问题详情页，支持语音播放智能体回答的内容，支持复制回答、对回复内容点赞、点踩等操作。</w:t>
      </w:r>
    </w:p>
    <w:p w14:paraId="4BE235C4">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支持查看历史会话，历史对话按时间排布，点击后回到历史对话页面，支持继续进行对话提问。</w:t>
      </w:r>
    </w:p>
    <w:p w14:paraId="79B12EBD">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AI互动室基于不同的话题进行互动，支持灵活切换互动话题进行回答讨论，支持通过语音输入进行互动。支持在没有思路的情况下，指定一位AI伙伴来回复或者让他们随机回复，AI伙伴支持不同的性格角色，支持对每个角色提供性格特质说明，支持为AI伙伴进行点赞和点踩动作，支持显示每个AI伙伴的受欢迎情况。</w:t>
      </w:r>
      <w:r>
        <w:rPr>
          <w:rFonts w:hint="eastAsia" w:ascii="宋体" w:hAnsi="宋体" w:eastAsia="宋体" w:cs="宋体"/>
          <w:b/>
          <w:bCs/>
          <w:sz w:val="22"/>
          <w:szCs w:val="22"/>
        </w:rPr>
        <w:t>（供应商提供真实系统现场演示）</w:t>
      </w:r>
    </w:p>
    <w:p w14:paraId="625FA382">
      <w:pPr>
        <w:numPr>
          <w:ilvl w:val="0"/>
          <w:numId w:val="6"/>
        </w:numPr>
        <w:ind w:left="0" w:leftChars="0" w:firstLine="0" w:firstLineChars="0"/>
        <w:outlineLvl w:val="1"/>
        <w:rPr>
          <w:rFonts w:hint="eastAsia" w:ascii="宋体" w:hAnsi="宋体" w:eastAsia="宋体" w:cs="宋体"/>
          <w:b/>
          <w:bCs/>
          <w:sz w:val="22"/>
          <w:szCs w:val="22"/>
        </w:rPr>
      </w:pPr>
      <w:bookmarkStart w:id="118" w:name="_Toc28425"/>
      <w:bookmarkStart w:id="119" w:name="_Toc10498"/>
      <w:r>
        <w:rPr>
          <w:rFonts w:hint="eastAsia" w:ascii="宋体" w:hAnsi="宋体" w:eastAsia="宋体" w:cs="宋体"/>
          <w:b/>
          <w:bCs/>
          <w:sz w:val="22"/>
          <w:szCs w:val="22"/>
        </w:rPr>
        <w:t>课程上线及运维服务</w:t>
      </w:r>
      <w:bookmarkEnd w:id="118"/>
      <w:bookmarkEnd w:id="119"/>
    </w:p>
    <w:p w14:paraId="0FD15FA1">
      <w:pPr>
        <w:numPr>
          <w:ilvl w:val="0"/>
          <w:numId w:val="7"/>
        </w:numPr>
        <w:ind w:left="0" w:firstLine="440" w:firstLineChars="200"/>
        <w:rPr>
          <w:rFonts w:hint="eastAsia" w:ascii="宋体" w:hAnsi="宋体" w:eastAsia="宋体" w:cs="宋体"/>
          <w:sz w:val="22"/>
          <w:szCs w:val="22"/>
        </w:rPr>
      </w:pPr>
      <w:r>
        <w:rPr>
          <w:rFonts w:ascii="宋体" w:hAnsi="宋体" w:eastAsia="宋体" w:cs="宋体"/>
          <w:sz w:val="22"/>
          <w:szCs w:val="22"/>
        </w:rPr>
        <w:t>●</w:t>
      </w:r>
      <w:r>
        <w:rPr>
          <w:rFonts w:hint="eastAsia" w:ascii="宋体" w:hAnsi="宋体" w:eastAsia="宋体" w:cs="宋体"/>
          <w:sz w:val="22"/>
          <w:szCs w:val="22"/>
        </w:rPr>
        <w:t>供应商</w:t>
      </w:r>
      <w:r>
        <w:rPr>
          <w:rFonts w:ascii="宋体" w:hAnsi="宋体" w:eastAsia="宋体" w:cs="宋体"/>
          <w:sz w:val="22"/>
          <w:szCs w:val="22"/>
        </w:rPr>
        <w:t>需提供在线视频检查平台，该平台支持课程老师在视频时间轴上精准标注修改意见，或一键确认内容无误。审片结果实时同步至制作团队，制作人员可在平台内完成意见处理与进度反馈，构建高效</w:t>
      </w:r>
      <w:r>
        <w:rPr>
          <w:rFonts w:hint="eastAsia" w:ascii="宋体" w:hAnsi="宋体" w:eastAsia="宋体" w:cs="宋体"/>
          <w:sz w:val="22"/>
          <w:szCs w:val="22"/>
        </w:rPr>
        <w:t>、</w:t>
      </w:r>
      <w:r>
        <w:rPr>
          <w:rFonts w:ascii="宋体" w:hAnsi="宋体" w:eastAsia="宋体" w:cs="宋体"/>
          <w:sz w:val="22"/>
          <w:szCs w:val="22"/>
        </w:rPr>
        <w:t>可回溯的课程内容审核修改流程。</w:t>
      </w:r>
      <w:r>
        <w:rPr>
          <w:rFonts w:ascii="宋体" w:hAnsi="宋体" w:eastAsia="宋体" w:cs="宋体"/>
          <w:b/>
          <w:bCs/>
          <w:sz w:val="22"/>
          <w:szCs w:val="22"/>
        </w:rPr>
        <w:t>（供应商提供真实系统现场演示）</w:t>
      </w:r>
    </w:p>
    <w:p w14:paraId="4C348267">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课程制作完成后，根据采购人课程建设运行需要，可上传内容到供应商所提供的课程运行平台。教师可在平台上运行在线课程，用于校内翻转课堂应用及校外课程推广，供高校学生和社会人员选修学习。</w:t>
      </w:r>
    </w:p>
    <w:p w14:paraId="4AB5EDF5">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平台以混合式课程教学为基础，提供可用于教师课程建设和运行的富媒体资源库。教师可以直接引用或调取其他优质共享的视频课、虚拟仿真实验课。</w:t>
      </w:r>
    </w:p>
    <w:p w14:paraId="3B2C205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运行安全稳定畅通，课程在线教学支持服务高效。课程平台按照《中国互联网管理条例》等规定，完成有关的备案和审批手续，至少获得国家信息安全等级保护三级认证，并完全符合混合式课程建设标准，支持线上线下混合式课程有效运行。须制定相应的管理制度和工作流程，配有专业人员进行审查管理，确保上线课程的内容规范及技术水平。</w:t>
      </w:r>
      <w:r>
        <w:rPr>
          <w:rFonts w:hint="eastAsia" w:ascii="宋体" w:hAnsi="宋体" w:eastAsia="宋体" w:cs="宋体"/>
          <w:b/>
          <w:bCs/>
          <w:sz w:val="22"/>
          <w:szCs w:val="22"/>
        </w:rPr>
        <w:t>（提供平台信息系统安全等级三级或以上的保护备案证明复印件并加盖供应商公章）</w:t>
      </w:r>
    </w:p>
    <w:p w14:paraId="70BABCA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移动客户端，支持iOS和Android操作系统，用于手机、Pad等智能移动终端，实现在线移动学习。与网络教学平台数据同步，进行在线课程的学习、通知、作业、考试、讨论、小组、成绩分析、学生管理，支持PPT上课、同步课堂、签到、抢答、问卷、讨论、点名、资料、直播功能。</w:t>
      </w:r>
    </w:p>
    <w:p w14:paraId="5E13CCB6">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支持AI自动督促：可根据每位学生的学习进度、作业提交情况、考试时间等，实现个性化学习提醒与督促，并提供成绩发布提醒、学生补考自动提醒。</w:t>
      </w:r>
    </w:p>
    <w:p w14:paraId="7101C54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检测学生诚信学习情况：可进行异地登录检测、异常设备登录检测、异常时间段检测、异常学习过程检测、异常考试过程检测等行为，若学生在学习过程中有异常行为，AI会自动通知学生诚信学习，管理教师可根据实际情况自行决定如何处理。</w:t>
      </w:r>
    </w:p>
    <w:p w14:paraId="568631C9">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周报生成：可定期向教师端推送AI学习周报，支持教师通过PC端和移动端查看周报内容，包含课程选课数据统计、学生整体学习情况概览；教师可查看学习行为数据及分析，包括AI智能问答数据统计、学生提问内容分析、师生互动数据汇总、视频反复观看情况检测、学生反馈记录查看；教师可查看AI陪练数据、学生成绩分析、满意度统计与深度分析。</w:t>
      </w:r>
    </w:p>
    <w:p w14:paraId="5991CCE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课程学习行为及资源AI智能分析：平台可基于学生提问数据，智能分析并总结学生问题集中的核心方向；能够检测学生反复观看的视频内容，提示哪些内容知识点可能是学生的兴趣点或理解难点；AI可对推荐资源进行分类统计，显示学生的资源偏好类别，以及资源的学习热度情况。</w:t>
      </w:r>
    </w:p>
    <w:p w14:paraId="6D91DF8F">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支持考试安全预防（封卷）：访问题库须通过本人微信扫码验证，确保试题访问安全可控。支持考试封存后，任何人员、任何路径均无法直接查看试卷内容，从源头杜绝试题</w:t>
      </w:r>
      <w:r>
        <w:rPr>
          <w:rFonts w:hint="eastAsia" w:ascii="宋体" w:hAnsi="宋体" w:eastAsia="宋体" w:cs="宋体"/>
          <w:sz w:val="22"/>
          <w:szCs w:val="22"/>
          <w:lang w:eastAsia="zh-CN"/>
        </w:rPr>
        <w:t>泄露</w:t>
      </w:r>
      <w:r>
        <w:rPr>
          <w:rFonts w:hint="eastAsia" w:ascii="宋体" w:hAnsi="宋体" w:eastAsia="宋体" w:cs="宋体"/>
          <w:sz w:val="22"/>
          <w:szCs w:val="22"/>
        </w:rPr>
        <w:t>。同时支持考试结束后，按班级选择发放试卷及答案。</w:t>
      </w:r>
    </w:p>
    <w:p w14:paraId="38FC97A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支持一键推课：教师可以通过APP或小程序一键生成并分享课程海报、手机端H5课程主页、课程小程序页面，实现课程快速推广，扩大学习覆盖面。</w:t>
      </w:r>
    </w:p>
    <w:p w14:paraId="1707111C">
      <w:pPr>
        <w:numPr>
          <w:ilvl w:val="0"/>
          <w:numId w:val="7"/>
        </w:numPr>
        <w:ind w:left="0" w:firstLine="440" w:firstLineChars="200"/>
        <w:rPr>
          <w:rFonts w:hint="eastAsia" w:ascii="宋体" w:hAnsi="宋体" w:eastAsia="宋体" w:cs="宋体"/>
          <w:sz w:val="22"/>
          <w:szCs w:val="22"/>
        </w:rPr>
      </w:pPr>
      <w:r>
        <w:rPr>
          <w:rFonts w:ascii="宋体" w:hAnsi="宋体" w:eastAsia="宋体" w:cs="宋体"/>
          <w:sz w:val="22"/>
          <w:szCs w:val="22"/>
        </w:rPr>
        <w:t>为保障采购人建设</w:t>
      </w:r>
      <w:r>
        <w:rPr>
          <w:rFonts w:hint="eastAsia" w:ascii="宋体" w:hAnsi="宋体" w:eastAsia="宋体" w:cs="宋体"/>
          <w:sz w:val="22"/>
          <w:szCs w:val="22"/>
        </w:rPr>
        <w:t>课程</w:t>
      </w:r>
      <w:r>
        <w:rPr>
          <w:rFonts w:ascii="宋体" w:hAnsi="宋体" w:eastAsia="宋体" w:cs="宋体"/>
          <w:sz w:val="22"/>
          <w:szCs w:val="22"/>
        </w:rPr>
        <w:t>符合省级、国家级课程申报条件，提升课程建设运行与推广水平，供应商提供的课程上线平台能够至少接入5个高校课程共享联盟，实现跨联盟、跨校优质课程资源互通共享，支持课程在联盟体系内的广泛传播与学分互认。</w:t>
      </w:r>
    </w:p>
    <w:p w14:paraId="20A2FE72">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采购人开展省级、国家级课程项目申报工作时，供应商需提供平台技术支撑，及时导出课程建设、运行相关各类数据，协助教师填写申报数据，指导课程团队掌握申报书填写要点及注意事项，全力支持课程顺利完成申报工作。</w:t>
      </w:r>
      <w:r>
        <w:rPr>
          <w:rFonts w:hint="eastAsia" w:ascii="宋体" w:hAnsi="宋体" w:eastAsia="宋体" w:cs="宋体"/>
          <w:b/>
          <w:bCs/>
          <w:sz w:val="22"/>
          <w:szCs w:val="22"/>
        </w:rPr>
        <w:t>（提供承诺函并加盖供应商公章）</w:t>
      </w:r>
    </w:p>
    <w:p w14:paraId="4357D6AC">
      <w:pPr>
        <w:numPr>
          <w:ilvl w:val="0"/>
          <w:numId w:val="7"/>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供应商需配备专业运行团队，为课程运行提供全方位保障，可面向授课教师提供电脑端、手机端课程应用培训，</w:t>
      </w:r>
      <w:r>
        <w:rPr>
          <w:rFonts w:ascii="宋体" w:hAnsi="宋体" w:eastAsia="宋体" w:cs="宋体"/>
          <w:sz w:val="22"/>
          <w:szCs w:val="22"/>
        </w:rPr>
        <w:t>运行团队提供7×24小时服务热线及在线支持，紧急问题（如平台崩溃）需在1小时内响应，24小时内解决</w:t>
      </w:r>
      <w:r>
        <w:rPr>
          <w:rFonts w:hint="eastAsia" w:ascii="宋体" w:hAnsi="宋体" w:eastAsia="宋体" w:cs="宋体"/>
          <w:sz w:val="22"/>
          <w:szCs w:val="22"/>
        </w:rPr>
        <w:t>，</w:t>
      </w:r>
      <w:r>
        <w:rPr>
          <w:rFonts w:ascii="宋体" w:hAnsi="宋体" w:eastAsia="宋体" w:cs="宋体"/>
          <w:sz w:val="22"/>
          <w:szCs w:val="22"/>
        </w:rPr>
        <w:t>常规问题（如功能咨询）需在4小时内响应，1个工作日内解决。</w:t>
      </w:r>
    </w:p>
    <w:p w14:paraId="76C7A10E">
      <w:pPr>
        <w:rPr>
          <w:rFonts w:hint="eastAsia" w:ascii="宋体" w:hAnsi="宋体" w:eastAsia="宋体" w:cs="宋体"/>
          <w:b/>
          <w:bCs/>
          <w:sz w:val="22"/>
          <w:szCs w:val="22"/>
        </w:rPr>
      </w:pPr>
      <w:r>
        <w:rPr>
          <w:rFonts w:hint="eastAsia" w:ascii="宋体" w:hAnsi="宋体" w:eastAsia="宋体" w:cs="宋体"/>
          <w:b/>
          <w:bCs/>
          <w:sz w:val="22"/>
          <w:szCs w:val="22"/>
        </w:rPr>
        <w:br w:type="page"/>
      </w:r>
    </w:p>
    <w:p w14:paraId="642B1C96">
      <w:pPr>
        <w:ind w:firstLine="442" w:firstLineChars="200"/>
        <w:jc w:val="center"/>
        <w:outlineLvl w:val="0"/>
        <w:rPr>
          <w:rFonts w:hint="eastAsia" w:ascii="宋体" w:hAnsi="宋体" w:eastAsia="宋体" w:cs="宋体"/>
          <w:b/>
          <w:bCs/>
          <w:sz w:val="22"/>
          <w:szCs w:val="22"/>
        </w:rPr>
      </w:pPr>
      <w:bookmarkStart w:id="120" w:name="_Toc19594"/>
      <w:bookmarkStart w:id="121" w:name="_Toc18751"/>
      <w:r>
        <w:rPr>
          <w:rFonts w:hint="eastAsia" w:ascii="宋体" w:hAnsi="宋体" w:eastAsia="宋体" w:cs="宋体"/>
          <w:b/>
          <w:bCs/>
          <w:sz w:val="22"/>
          <w:szCs w:val="22"/>
          <w:lang w:val="en-US" w:eastAsia="zh-CN"/>
        </w:rPr>
        <w:t xml:space="preserve">第三项 </w:t>
      </w:r>
      <w:r>
        <w:rPr>
          <w:rFonts w:hint="eastAsia" w:ascii="宋体" w:hAnsi="宋体" w:eastAsia="宋体" w:cs="宋体"/>
          <w:b/>
          <w:bCs/>
          <w:sz w:val="22"/>
          <w:szCs w:val="22"/>
        </w:rPr>
        <w:t>【一流专业课程图谱资源建设服务】</w:t>
      </w:r>
      <w:bookmarkEnd w:id="120"/>
      <w:bookmarkEnd w:id="121"/>
    </w:p>
    <w:p w14:paraId="338AE88C">
      <w:pPr>
        <w:numPr>
          <w:ilvl w:val="0"/>
          <w:numId w:val="13"/>
        </w:numPr>
        <w:ind w:left="0" w:leftChars="0" w:firstLine="0" w:firstLineChars="0"/>
        <w:outlineLvl w:val="1"/>
        <w:rPr>
          <w:rFonts w:hint="eastAsia" w:ascii="宋体" w:hAnsi="宋体" w:eastAsia="宋体" w:cs="宋体"/>
          <w:b/>
          <w:bCs/>
          <w:sz w:val="22"/>
          <w:szCs w:val="22"/>
        </w:rPr>
      </w:pPr>
      <w:bookmarkStart w:id="122" w:name="_Toc11710"/>
      <w:bookmarkStart w:id="123" w:name="_Toc28358"/>
      <w:r>
        <w:rPr>
          <w:rFonts w:hint="eastAsia" w:ascii="宋体" w:hAnsi="宋体" w:eastAsia="宋体" w:cs="宋体"/>
          <w:b/>
          <w:bCs/>
          <w:sz w:val="22"/>
          <w:szCs w:val="22"/>
        </w:rPr>
        <w:t>整体建设要求</w:t>
      </w:r>
      <w:bookmarkEnd w:id="122"/>
      <w:bookmarkEnd w:id="123"/>
    </w:p>
    <w:p w14:paraId="1C39453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本项目需建设6门课程图谱，包括课程知识图谱、能力图谱、题库等资源构建，单门课程建设不少于100个知识点，链接不少于300个教学资源。</w:t>
      </w:r>
    </w:p>
    <w:p w14:paraId="0CEB774A">
      <w:pPr>
        <w:numPr>
          <w:ilvl w:val="0"/>
          <w:numId w:val="14"/>
        </w:numPr>
        <w:ind w:left="0" w:firstLine="440" w:firstLineChars="200"/>
        <w:rPr>
          <w:rFonts w:hint="eastAsia" w:ascii="宋体" w:hAnsi="宋体" w:eastAsia="宋体" w:cs="宋体"/>
          <w:kern w:val="0"/>
          <w:sz w:val="22"/>
          <w:szCs w:val="22"/>
          <w:lang w:eastAsia="zh-Hans"/>
        </w:rPr>
      </w:pPr>
      <w:r>
        <w:rPr>
          <w:rFonts w:hint="eastAsia" w:ascii="宋体" w:hAnsi="宋体" w:eastAsia="宋体" w:cs="宋体"/>
          <w:kern w:val="0"/>
          <w:sz w:val="22"/>
          <w:szCs w:val="22"/>
        </w:rPr>
        <w:t>课程图谱</w:t>
      </w:r>
      <w:r>
        <w:rPr>
          <w:rFonts w:hint="eastAsia" w:ascii="宋体" w:hAnsi="宋体" w:eastAsia="宋体" w:cs="宋体"/>
          <w:kern w:val="0"/>
          <w:sz w:val="22"/>
          <w:szCs w:val="22"/>
          <w:lang w:eastAsia="zh-Hans"/>
        </w:rPr>
        <w:t>建设规范要求</w:t>
      </w:r>
    </w:p>
    <w:p w14:paraId="0132FFC9">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①课程资源梳理：供应商需针对课程内容梳理各类教学资源，如视频、教学大纲、教案、课件、教材、说课视频、题库、思政点等其他资料，每门课程总资源挂载数量不少于300个。</w:t>
      </w:r>
    </w:p>
    <w:p w14:paraId="1C8B7A98">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②课程教学设计：供应商需了解课程背景、课程目标、课程特色、教学计划、课程知识逻辑、课程蓝图等，协助教师确定图谱建设思路，完成不少于1000字的课程教学设计方案。</w:t>
      </w:r>
    </w:p>
    <w:p w14:paraId="2DEAD204">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③知识图谱建设：供应商需梳理课程知识点，设置知识关系形成课程专属知识图谱，分类知识点（如重点、难点、案例、思政点等）、完善知识点信息、挂载教学资源、关联案例和题目。每个知识点挂载不少于3个教学资源，包含课程自有资源及平台提供的资源等。</w:t>
      </w:r>
    </w:p>
    <w:p w14:paraId="2487BCA8">
      <w:pPr>
        <w:widowControl/>
        <w:ind w:firstLine="480"/>
        <w:jc w:val="left"/>
        <w:rPr>
          <w:rFonts w:hint="eastAsia" w:ascii="宋体" w:hAnsi="宋体" w:eastAsia="宋体" w:cs="宋体"/>
          <w:kern w:val="0"/>
          <w:sz w:val="22"/>
          <w:szCs w:val="22"/>
          <w:lang w:eastAsia="zh-Hans"/>
        </w:rPr>
      </w:pPr>
      <w:r>
        <w:rPr>
          <w:rFonts w:hint="eastAsia" w:ascii="宋体" w:hAnsi="宋体" w:eastAsia="宋体" w:cs="宋体"/>
          <w:kern w:val="0"/>
          <w:sz w:val="22"/>
          <w:szCs w:val="22"/>
          <w:lang w:eastAsia="zh-Hans"/>
        </w:rPr>
        <w:t>④</w:t>
      </w:r>
      <w:r>
        <w:rPr>
          <w:rFonts w:ascii="宋体" w:hAnsi="宋体" w:eastAsia="宋体" w:cs="宋体"/>
          <w:kern w:val="0"/>
          <w:sz w:val="22"/>
          <w:szCs w:val="22"/>
          <w:lang w:eastAsia="zh-Hans"/>
        </w:rPr>
        <w:t>能力图谱建设：供应商需基于课程培养目标构建能力体系，实现能力、问题与知识点的三层衔接，每门课程能力体系需建设不少于4个能力要求。</w:t>
      </w:r>
    </w:p>
    <w:p w14:paraId="309670BC">
      <w:pPr>
        <w:numPr>
          <w:ilvl w:val="0"/>
          <w:numId w:val="14"/>
        </w:numPr>
        <w:ind w:left="0"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合同签订后5个工作日内，供应商需组织课程建设启动会，针对每门课程</w:t>
      </w:r>
      <w:r>
        <w:rPr>
          <w:rFonts w:ascii="宋体" w:hAnsi="宋体" w:eastAsia="宋体" w:cs="宋体"/>
          <w:kern w:val="0"/>
          <w:sz w:val="22"/>
          <w:szCs w:val="22"/>
        </w:rPr>
        <w:t>开展不少于</w:t>
      </w:r>
      <w:r>
        <w:rPr>
          <w:rFonts w:hint="eastAsia" w:ascii="宋体" w:hAnsi="宋体" w:eastAsia="宋体" w:cs="宋体"/>
          <w:kern w:val="0"/>
          <w:sz w:val="22"/>
          <w:szCs w:val="22"/>
        </w:rPr>
        <w:t>3</w:t>
      </w:r>
      <w:r>
        <w:rPr>
          <w:rFonts w:ascii="宋体" w:hAnsi="宋体" w:eastAsia="宋体" w:cs="宋体"/>
          <w:kern w:val="0"/>
          <w:sz w:val="22"/>
          <w:szCs w:val="22"/>
        </w:rPr>
        <w:t>次的</w:t>
      </w:r>
      <w:r>
        <w:rPr>
          <w:rFonts w:hint="eastAsia" w:ascii="宋体" w:hAnsi="宋体" w:eastAsia="宋体" w:cs="宋体"/>
          <w:kern w:val="0"/>
          <w:sz w:val="22"/>
          <w:szCs w:val="22"/>
        </w:rPr>
        <w:t>进度</w:t>
      </w:r>
      <w:r>
        <w:rPr>
          <w:rFonts w:ascii="宋体" w:hAnsi="宋体" w:eastAsia="宋体" w:cs="宋体"/>
          <w:kern w:val="0"/>
          <w:sz w:val="22"/>
          <w:szCs w:val="22"/>
        </w:rPr>
        <w:t>汇报会</w:t>
      </w:r>
      <w:r>
        <w:rPr>
          <w:rFonts w:hint="eastAsia" w:ascii="宋体" w:hAnsi="宋体" w:eastAsia="宋体" w:cs="宋体"/>
          <w:kern w:val="0"/>
          <w:sz w:val="22"/>
          <w:szCs w:val="22"/>
        </w:rPr>
        <w:t>，以及</w:t>
      </w:r>
      <w:r>
        <w:rPr>
          <w:rFonts w:ascii="宋体" w:hAnsi="宋体" w:eastAsia="宋体" w:cs="宋体"/>
          <w:kern w:val="0"/>
          <w:sz w:val="22"/>
          <w:szCs w:val="22"/>
        </w:rPr>
        <w:t>不</w:t>
      </w:r>
      <w:r>
        <w:rPr>
          <w:rFonts w:hint="eastAsia" w:ascii="宋体" w:hAnsi="宋体" w:eastAsia="宋体" w:cs="宋体"/>
          <w:kern w:val="0"/>
          <w:sz w:val="22"/>
          <w:szCs w:val="22"/>
        </w:rPr>
        <w:t>少</w:t>
      </w:r>
      <w:r>
        <w:rPr>
          <w:rFonts w:ascii="宋体" w:hAnsi="宋体" w:eastAsia="宋体" w:cs="宋体"/>
          <w:kern w:val="0"/>
          <w:sz w:val="22"/>
          <w:szCs w:val="22"/>
        </w:rPr>
        <w:t>于2次</w:t>
      </w:r>
      <w:r>
        <w:rPr>
          <w:rFonts w:hint="eastAsia" w:ascii="宋体" w:hAnsi="宋体" w:eastAsia="宋体" w:cs="宋体"/>
          <w:kern w:val="0"/>
          <w:sz w:val="22"/>
          <w:szCs w:val="22"/>
        </w:rPr>
        <w:t>的课程建设、运行</w:t>
      </w:r>
      <w:r>
        <w:rPr>
          <w:rFonts w:ascii="宋体" w:hAnsi="宋体" w:eastAsia="宋体" w:cs="宋体"/>
          <w:kern w:val="0"/>
          <w:sz w:val="22"/>
          <w:szCs w:val="22"/>
        </w:rPr>
        <w:t>培训服务。会议与培训需形成</w:t>
      </w:r>
      <w:r>
        <w:rPr>
          <w:rFonts w:hint="eastAsia" w:ascii="宋体" w:hAnsi="宋体" w:eastAsia="宋体" w:cs="宋体"/>
          <w:kern w:val="0"/>
          <w:sz w:val="22"/>
          <w:szCs w:val="22"/>
        </w:rPr>
        <w:t>文字</w:t>
      </w:r>
      <w:r>
        <w:rPr>
          <w:rFonts w:ascii="宋体" w:hAnsi="宋体" w:eastAsia="宋体" w:cs="宋体"/>
          <w:kern w:val="0"/>
          <w:sz w:val="22"/>
          <w:szCs w:val="22"/>
        </w:rPr>
        <w:t>材料存档。</w:t>
      </w:r>
    </w:p>
    <w:p w14:paraId="7132B7E0">
      <w:pPr>
        <w:numPr>
          <w:ilvl w:val="0"/>
          <w:numId w:val="13"/>
        </w:numPr>
        <w:ind w:left="0" w:leftChars="0" w:firstLine="0" w:firstLineChars="0"/>
        <w:outlineLvl w:val="1"/>
        <w:rPr>
          <w:rFonts w:hint="eastAsia" w:ascii="宋体" w:hAnsi="宋体" w:eastAsia="宋体" w:cs="宋体"/>
          <w:b/>
          <w:bCs/>
          <w:sz w:val="22"/>
          <w:szCs w:val="22"/>
        </w:rPr>
      </w:pPr>
      <w:bookmarkStart w:id="124" w:name="_Toc554"/>
      <w:bookmarkStart w:id="125" w:name="_Toc13419"/>
      <w:r>
        <w:rPr>
          <w:rFonts w:hint="eastAsia" w:ascii="宋体" w:hAnsi="宋体" w:eastAsia="宋体" w:cs="宋体"/>
          <w:b/>
          <w:bCs/>
          <w:sz w:val="22"/>
          <w:szCs w:val="22"/>
        </w:rPr>
        <w:t>课程图谱建设</w:t>
      </w:r>
      <w:bookmarkEnd w:id="124"/>
      <w:bookmarkEnd w:id="125"/>
    </w:p>
    <w:p w14:paraId="74D02D43">
      <w:pPr>
        <w:numPr>
          <w:ilvl w:val="0"/>
          <w:numId w:val="15"/>
        </w:numPr>
        <w:ind w:left="-442" w:leftChars="0" w:firstLine="442" w:firstLineChars="0"/>
        <w:outlineLvl w:val="2"/>
        <w:rPr>
          <w:rFonts w:hint="eastAsia" w:ascii="宋体" w:hAnsi="宋体" w:eastAsia="宋体" w:cs="宋体"/>
          <w:b/>
          <w:bCs/>
          <w:sz w:val="22"/>
          <w:szCs w:val="22"/>
        </w:rPr>
      </w:pPr>
      <w:bookmarkStart w:id="126" w:name="_Toc9733"/>
      <w:bookmarkStart w:id="127" w:name="_Toc11577"/>
      <w:r>
        <w:rPr>
          <w:rFonts w:hint="eastAsia" w:ascii="宋体" w:hAnsi="宋体" w:eastAsia="宋体" w:cs="宋体"/>
          <w:b/>
          <w:bCs/>
          <w:sz w:val="22"/>
          <w:szCs w:val="22"/>
        </w:rPr>
        <w:t>课程设计服务</w:t>
      </w:r>
      <w:bookmarkEnd w:id="126"/>
      <w:bookmarkEnd w:id="127"/>
    </w:p>
    <w:p w14:paraId="6230C44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供应商需和</w:t>
      </w:r>
      <w:r>
        <w:rPr>
          <w:rFonts w:ascii="宋体" w:hAnsi="宋体" w:eastAsia="宋体" w:cs="宋体"/>
          <w:sz w:val="22"/>
          <w:szCs w:val="22"/>
        </w:rPr>
        <w:t>课程</w:t>
      </w:r>
      <w:r>
        <w:rPr>
          <w:rFonts w:hint="eastAsia" w:ascii="宋体" w:hAnsi="宋体" w:eastAsia="宋体" w:cs="宋体"/>
          <w:sz w:val="22"/>
          <w:szCs w:val="22"/>
        </w:rPr>
        <w:t>教学团队</w:t>
      </w:r>
      <w:r>
        <w:rPr>
          <w:rFonts w:ascii="宋体" w:hAnsi="宋体" w:eastAsia="宋体" w:cs="宋体"/>
          <w:sz w:val="22"/>
          <w:szCs w:val="22"/>
        </w:rPr>
        <w:t>结合学校办学情况、学生基础及人才培养要求，明确课程定位，梳理课程</w:t>
      </w:r>
      <w:r>
        <w:rPr>
          <w:rFonts w:hint="eastAsia" w:ascii="宋体" w:hAnsi="宋体" w:eastAsia="宋体" w:cs="宋体"/>
          <w:sz w:val="22"/>
          <w:szCs w:val="22"/>
        </w:rPr>
        <w:t>痛</w:t>
      </w:r>
      <w:r>
        <w:rPr>
          <w:rFonts w:ascii="宋体" w:hAnsi="宋体" w:eastAsia="宋体" w:cs="宋体"/>
          <w:sz w:val="22"/>
          <w:szCs w:val="22"/>
        </w:rPr>
        <w:t>点与创新特色</w:t>
      </w:r>
      <w:r>
        <w:rPr>
          <w:rFonts w:hint="eastAsia" w:ascii="宋体" w:hAnsi="宋体" w:eastAsia="宋体" w:cs="宋体"/>
          <w:sz w:val="22"/>
          <w:szCs w:val="22"/>
        </w:rPr>
        <w:t>、</w:t>
      </w:r>
      <w:r>
        <w:rPr>
          <w:rFonts w:ascii="宋体" w:hAnsi="宋体" w:eastAsia="宋体" w:cs="宋体"/>
          <w:sz w:val="22"/>
          <w:szCs w:val="22"/>
        </w:rPr>
        <w:t>分析现有课程、给出优化建议，</w:t>
      </w:r>
      <w:r>
        <w:rPr>
          <w:rFonts w:hint="eastAsia" w:ascii="宋体" w:hAnsi="宋体" w:eastAsia="宋体" w:cs="宋体"/>
          <w:sz w:val="22"/>
          <w:szCs w:val="22"/>
        </w:rPr>
        <w:t>进行</w:t>
      </w:r>
      <w:r>
        <w:rPr>
          <w:rFonts w:ascii="宋体" w:hAnsi="宋体" w:eastAsia="宋体" w:cs="宋体"/>
          <w:sz w:val="22"/>
          <w:szCs w:val="22"/>
        </w:rPr>
        <w:t>课程知识点</w:t>
      </w:r>
      <w:r>
        <w:rPr>
          <w:rFonts w:hint="eastAsia" w:ascii="宋体" w:hAnsi="宋体" w:eastAsia="宋体" w:cs="宋体"/>
          <w:sz w:val="22"/>
          <w:szCs w:val="22"/>
        </w:rPr>
        <w:t>提取和设计沟通</w:t>
      </w:r>
      <w:r>
        <w:rPr>
          <w:rFonts w:ascii="宋体" w:hAnsi="宋体" w:eastAsia="宋体" w:cs="宋体"/>
          <w:sz w:val="22"/>
          <w:szCs w:val="22"/>
        </w:rPr>
        <w:t>，</w:t>
      </w:r>
      <w:r>
        <w:rPr>
          <w:rFonts w:hint="eastAsia" w:ascii="宋体" w:hAnsi="宋体" w:eastAsia="宋体" w:cs="宋体"/>
          <w:sz w:val="22"/>
          <w:szCs w:val="22"/>
        </w:rPr>
        <w:t>课程</w:t>
      </w:r>
      <w:r>
        <w:rPr>
          <w:rFonts w:ascii="宋体" w:hAnsi="宋体" w:eastAsia="宋体" w:cs="宋体"/>
          <w:sz w:val="22"/>
          <w:szCs w:val="22"/>
        </w:rPr>
        <w:t>内容</w:t>
      </w:r>
      <w:r>
        <w:rPr>
          <w:rFonts w:hint="eastAsia" w:ascii="宋体" w:hAnsi="宋体" w:eastAsia="宋体" w:cs="宋体"/>
          <w:sz w:val="22"/>
          <w:szCs w:val="22"/>
        </w:rPr>
        <w:t>需</w:t>
      </w:r>
      <w:r>
        <w:rPr>
          <w:rFonts w:ascii="宋体" w:hAnsi="宋体" w:eastAsia="宋体" w:cs="宋体"/>
          <w:sz w:val="22"/>
          <w:szCs w:val="22"/>
        </w:rPr>
        <w:t>符合意识形态。</w:t>
      </w:r>
    </w:p>
    <w:p w14:paraId="24A233F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供应商需配备专业的课程设计顾问提供课程建设服务，由课程设计顾问根据老师提供或所需的资源清单进行整理搜寻，根据资源进行知识、能力图谱的构建，知识点资源的挂载，知识点题目的挂载，知识点类型标注等所有内容建设，并根据老师的审核意见进行修改，教师可以使用最终交付的课程直接投入教学运行。</w:t>
      </w:r>
    </w:p>
    <w:p w14:paraId="07CDA8E6">
      <w:pPr>
        <w:numPr>
          <w:ilvl w:val="0"/>
          <w:numId w:val="15"/>
        </w:numPr>
        <w:ind w:left="-442" w:leftChars="0" w:firstLine="442" w:firstLineChars="0"/>
        <w:outlineLvl w:val="2"/>
        <w:rPr>
          <w:rFonts w:hint="eastAsia" w:ascii="宋体" w:hAnsi="宋体" w:eastAsia="宋体" w:cs="宋体"/>
          <w:b/>
          <w:bCs/>
          <w:sz w:val="22"/>
          <w:szCs w:val="22"/>
        </w:rPr>
      </w:pPr>
      <w:bookmarkStart w:id="128" w:name="_Toc6666"/>
      <w:bookmarkStart w:id="129" w:name="_Toc16833"/>
      <w:r>
        <w:rPr>
          <w:rFonts w:hint="eastAsia" w:ascii="宋体" w:hAnsi="宋体" w:eastAsia="宋体" w:cs="宋体"/>
          <w:b/>
          <w:bCs/>
          <w:sz w:val="22"/>
          <w:szCs w:val="22"/>
        </w:rPr>
        <w:t>课程门户模块建设</w:t>
      </w:r>
      <w:bookmarkEnd w:id="128"/>
      <w:bookmarkEnd w:id="129"/>
    </w:p>
    <w:p w14:paraId="77D53BCB">
      <w:pPr>
        <w:numPr>
          <w:ilvl w:val="0"/>
          <w:numId w:val="14"/>
        </w:numPr>
        <w:ind w:left="0" w:firstLine="440" w:firstLineChars="200"/>
        <w:rPr>
          <w:rFonts w:hint="eastAsia" w:ascii="宋体" w:hAnsi="宋体" w:eastAsia="宋体" w:cs="宋体"/>
          <w:sz w:val="22"/>
          <w:szCs w:val="22"/>
        </w:rPr>
      </w:pPr>
      <w:r>
        <w:rPr>
          <w:rFonts w:ascii="宋体" w:hAnsi="宋体" w:eastAsia="宋体" w:cs="宋体"/>
          <w:sz w:val="22"/>
          <w:szCs w:val="22"/>
        </w:rPr>
        <w:t>课程</w:t>
      </w:r>
      <w:r>
        <w:rPr>
          <w:rFonts w:hint="eastAsia" w:ascii="宋体" w:hAnsi="宋体" w:eastAsia="宋体" w:cs="宋体"/>
          <w:sz w:val="22"/>
          <w:szCs w:val="22"/>
        </w:rPr>
        <w:t>图谱</w:t>
      </w:r>
      <w:r>
        <w:rPr>
          <w:rFonts w:ascii="宋体" w:hAnsi="宋体" w:eastAsia="宋体" w:cs="宋体"/>
          <w:sz w:val="22"/>
          <w:szCs w:val="22"/>
        </w:rPr>
        <w:t>展示：支持平台课程</w:t>
      </w:r>
      <w:r>
        <w:rPr>
          <w:rFonts w:hint="eastAsia" w:ascii="宋体" w:hAnsi="宋体" w:eastAsia="宋体" w:cs="宋体"/>
          <w:sz w:val="22"/>
          <w:szCs w:val="22"/>
        </w:rPr>
        <w:t>图谱</w:t>
      </w:r>
      <w:r>
        <w:rPr>
          <w:rFonts w:ascii="宋体" w:hAnsi="宋体" w:eastAsia="宋体" w:cs="宋体"/>
          <w:sz w:val="22"/>
          <w:szCs w:val="22"/>
        </w:rPr>
        <w:t>全公开，为全校平台用户展示已建设课程</w:t>
      </w:r>
      <w:r>
        <w:rPr>
          <w:rFonts w:hint="eastAsia" w:ascii="宋体" w:hAnsi="宋体" w:eastAsia="宋体" w:cs="宋体"/>
          <w:sz w:val="22"/>
          <w:szCs w:val="22"/>
        </w:rPr>
        <w:t>图谱</w:t>
      </w:r>
      <w:r>
        <w:rPr>
          <w:rFonts w:ascii="宋体" w:hAnsi="宋体" w:eastAsia="宋体" w:cs="宋体"/>
          <w:sz w:val="22"/>
          <w:szCs w:val="22"/>
        </w:rPr>
        <w:t>概况，并可通过后台发布设置指定对应的用户/用户群浏览</w:t>
      </w:r>
      <w:r>
        <w:rPr>
          <w:rFonts w:hint="eastAsia" w:ascii="宋体" w:hAnsi="宋体" w:eastAsia="宋体" w:cs="宋体"/>
          <w:sz w:val="22"/>
          <w:szCs w:val="22"/>
        </w:rPr>
        <w:t>课程</w:t>
      </w:r>
      <w:r>
        <w:rPr>
          <w:rFonts w:ascii="宋体" w:hAnsi="宋体" w:eastAsia="宋体" w:cs="宋体"/>
          <w:sz w:val="22"/>
          <w:szCs w:val="22"/>
        </w:rPr>
        <w:t>详情内容。</w:t>
      </w:r>
    </w:p>
    <w:p w14:paraId="4A63DC7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支持课程体系展示：支持三维课程体系静态展示形式，展示包含教学资源、知识体系、能力体系等数据。</w:t>
      </w:r>
    </w:p>
    <w:p w14:paraId="740CEB6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课程基本信息模块：至少包括负责教师、开课学校、说课视频、课程封面、课程简介。说课视频支持MP3、MP4等主流视频格式，课程封面支持上传jpg、png等主流图片格式，课程简介字数上限不低于5000字。</w:t>
      </w:r>
    </w:p>
    <w:p w14:paraId="2EB1025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建设详情模块：至少包括教师团队、课程背景、课程简介、课程目标、课程特色、课程知识逻辑、课程知识结构图、教学计划。知识结构图以图片展示，图片支持jpg、png等主流图片格式。教学计划包括主题名称及学时、课程学分及学时。</w:t>
      </w:r>
    </w:p>
    <w:p w14:paraId="57B4087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课程设计模块：至少包括课程体系、课程结构、课程框架、课程知识模块，可实现按模板导入进行新增和维护。课程框架包含课程主题名称、教学内容、教学重点、教学难点等信息。</w:t>
      </w:r>
    </w:p>
    <w:p w14:paraId="30B4B76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根据课程教学团队自动生成虚拟教研室，虚拟教研室中包含虚拟教研活动介绍与详情、虚拟教研室成员、虚拟教研室牵头单位与虚拟教研室负责老师。支持根据虚拟教研室教研活动，生成过程化虚拟教研记录。成员详情需要包含成员头像、姓名、简介、职称等。</w:t>
      </w:r>
    </w:p>
    <w:p w14:paraId="1FED0140">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根据课程建设成果，生成课程成果相册，相册内容包含：课程体系、课程框架、课程地图、课程图谱等。</w:t>
      </w:r>
    </w:p>
    <w:p w14:paraId="6255C060">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课程视频模块：至少包括课程章节大纲、章节简介以及教学计划，含有知识点的视频章节需关联对应的知识点。除了便于观看视频，支持点击可查看知识点详情。</w:t>
      </w:r>
    </w:p>
    <w:p w14:paraId="0EC211B3">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展示课程教学定位，教学定位信息包含：课程类别、适用专业、先修课程、后续课程等。展示课程的教学逻辑关系图，显示目标课程的前后序课程学习关系。</w:t>
      </w:r>
    </w:p>
    <w:p w14:paraId="462DA5F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统计课程的详细建设与教学数据：包含知识模块建设数量、知识点总数、知识节点总数、知识教案总数、能力目标总数、问题总数、教学资源数量与外部引用资源数量。</w:t>
      </w:r>
    </w:p>
    <w:p w14:paraId="6043E4F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统计课程的访问量总数，可对比同期数据，获取近期访客详细数据。</w:t>
      </w:r>
    </w:p>
    <w:p w14:paraId="20A3699C">
      <w:pPr>
        <w:numPr>
          <w:ilvl w:val="0"/>
          <w:numId w:val="15"/>
        </w:numPr>
        <w:ind w:left="-442" w:leftChars="0"/>
        <w:outlineLvl w:val="2"/>
        <w:rPr>
          <w:rFonts w:hint="eastAsia" w:ascii="宋体" w:hAnsi="宋体" w:eastAsia="宋体" w:cs="宋体"/>
          <w:sz w:val="22"/>
          <w:szCs w:val="22"/>
        </w:rPr>
      </w:pPr>
      <w:bookmarkStart w:id="130" w:name="_Toc29232"/>
      <w:bookmarkStart w:id="131" w:name="_Toc22270"/>
      <w:r>
        <w:rPr>
          <w:rFonts w:hint="eastAsia" w:ascii="宋体" w:hAnsi="宋体" w:eastAsia="宋体" w:cs="宋体"/>
          <w:b/>
          <w:bCs/>
          <w:sz w:val="22"/>
          <w:szCs w:val="22"/>
        </w:rPr>
        <w:t>知识图谱构建要求</w:t>
      </w:r>
      <w:bookmarkEnd w:id="130"/>
      <w:bookmarkEnd w:id="131"/>
    </w:p>
    <w:p w14:paraId="3817455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地图详情，对知识地图上的知识点进行添加、删除、编辑资源、设置标签，可以添加同级节点、子节点。可以按XMind格式模板导入知识地图的节点信息，包括节点名称、标签、难度、描述，模板文件大小支持1G以上，节点数量支持10000以上。</w:t>
      </w:r>
    </w:p>
    <w:p w14:paraId="6FCCC365">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支持编辑知识点基本信息，包括名称、认知目标、难度、描述，难度值需设置至少简单、一般、困难三档。</w:t>
      </w:r>
    </w:p>
    <w:p w14:paraId="1D70E5E4">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支持编辑知识点认知目标标签，设置记忆、理解、应用、分析、评价、创造六级认知目标，并在此基础上自定义填写具体认知目标内容，内容字数上限不少于30字。</w:t>
      </w:r>
    </w:p>
    <w:p w14:paraId="0F301A6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支持编辑知识点描述，支持富文本编辑，包括调整字体颜色、字号、字体底色、插入项目符号等，支持插入网页链接，支持利用latex数学公式编辑器插入公式，支持AI自动生成知识点描述，字数上限不少于20字。</w:t>
      </w:r>
    </w:p>
    <w:p w14:paraId="437161D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基于知识点描述的内容，能够自由划选关键词，并通过所选教材或百科描述自动生成知识点补充词条，应包括词条标题、词条别名、词条内容，词条内容字数上限不少于100字。</w:t>
      </w:r>
    </w:p>
    <w:p w14:paraId="6FC45EE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支持从资源包选择具体的内容片段快速建立知识体系，并自动生成知识点名称。</w:t>
      </w:r>
    </w:p>
    <w:p w14:paraId="5B7AD62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知识点上挂载题目和资源，单个知识点题目限制最高挂载数量不少于10道。资源挂载至少包括：直接上传本地文件、本地资源库资源（含视频、教材）引用、网络资源库资源（包含但不限于知乎、知网、百度百科平台）引用，资源类型包括jpg、txt、doc、ppt、mp4、pdf、rar等常见文件格式。</w:t>
      </w:r>
    </w:p>
    <w:p w14:paraId="1275B1F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在编辑单个知识点教学资源时，支持AI自动推荐知识点相关的教学视频片段、电子教材片段，方便教师快速选择。推荐的资源需包含资源名称、来自课程名称、学校名称、教师、章节信息、视频时长、引用状态，对不合适的视频资源可设置“不再推荐”。</w:t>
      </w:r>
    </w:p>
    <w:p w14:paraId="483A165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可以对所引用的教学资源进行切片处理：对于视频资源，可在视频时间轴上设置知识点片段的开始位置和截止位置，设置时能同时看到视频对应的时间戳；对于电子教材书籍，可设置对应知识点内容的起点和终点，高亮显示。</w:t>
      </w:r>
    </w:p>
    <w:p w14:paraId="7778FDB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知识点编辑状态可预览，预览界面与学生端学习知识点界面保持一致。</w:t>
      </w:r>
    </w:p>
    <w:p w14:paraId="77AA796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虚拟仿真课程资源：知识图谱资源部署平台需配备自有且完全公开使用的虚拟仿真教学资源供建设引用。所有课程均支持校内学生随时加入学习，学生可免登录一键转至课程实验界面进行实验练习。需提供具备在线预览功能的3D模型资源库，模型资源总量不低于100个，全部无版权争议。</w:t>
      </w:r>
    </w:p>
    <w:p w14:paraId="62010E8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慕课和教材资源：知识图谱资源部署平台需提供至少10000门慕课、20000本教材供建设引用。慕课引用界面包括课程名称、课程资源、所属学校等字段，慕课可以整门引用，也可以按照章节引用，可查看和删除引用资源。总体教材数量不低于20000本，教材应能基于OCR技术，根据目录章节结构化，完成结构化的教材，标准支持编辑书本信息、查看书本信息、预览原件、更换电子书封面、删除电子书。点击识别完成的电子书，能够查阅电子书全文，支持缩放比例，切换演示模式、页面滚动、切换单页/双页视图等。</w:t>
      </w:r>
    </w:p>
    <w:p w14:paraId="5D98543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能够</w:t>
      </w:r>
      <w:r>
        <w:rPr>
          <w:rFonts w:ascii="宋体" w:hAnsi="宋体" w:eastAsia="宋体" w:cs="宋体"/>
          <w:sz w:val="22"/>
          <w:szCs w:val="22"/>
        </w:rPr>
        <w:t>添加、编辑和删除</w:t>
      </w:r>
      <w:r>
        <w:rPr>
          <w:rFonts w:hint="eastAsia" w:ascii="宋体" w:hAnsi="宋体" w:eastAsia="宋体" w:cs="宋体"/>
          <w:sz w:val="22"/>
          <w:szCs w:val="22"/>
        </w:rPr>
        <w:t>知识关系，知识关系类型至少包括包含、顺序和相关。知识关系线方向支持单向和双向选择，不同维度知识关系通过不同的颜色进行区分展示。</w:t>
      </w:r>
    </w:p>
    <w:p w14:paraId="37E2F09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支持编辑知识图谱主题、知识点和属性的字号大小，知识图谱展示系统可以随设置字体大小进行显示。</w:t>
      </w:r>
    </w:p>
    <w:p w14:paraId="1835607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支持查看当前知识地图全部内容，可以对知识地图进行放大、缩小，定位到课程，可展开/收缩节点，可全屏显示。支持搜索知识地图下的所有知识点以及属性名称。</w:t>
      </w:r>
    </w:p>
    <w:p w14:paraId="52C2C69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支持统计课程内全部知识节点数量、资源总数量、测试题目数量、引用课程总数、引用教材总数、本地上传资源总数，并以列表形式呈现结果。</w:t>
      </w:r>
    </w:p>
    <w:p w14:paraId="1549776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支持统计知识点基本信息，统计单个知识点上的资源挂载数量、题目挂载数量，验证每个知识点的描述是否填充完整，计算并显示知识点填充完成度。</w:t>
      </w:r>
    </w:p>
    <w:p w14:paraId="3E75ACF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环状图谱展示课程全部的知识模块与知识点内容，可实现最少2级环状结构展示。可快速引导显示知识点的学习路径，选中知识点后，系统能够自动显示关联的知识学习路径。可选择全部层级或其中一层级知识点进行学习。</w:t>
      </w:r>
    </w:p>
    <w:p w14:paraId="437A3D34">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通过知识主题显示课程中的个性化图谱内容，系统通过知识主题将全部知识点进行分割，并可单独针对每一个主题的知识体系进行详细展示。</w:t>
      </w:r>
    </w:p>
    <w:p w14:paraId="438ABED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支持查看知识点详情内容，详情内容包含知识点的前后关系、知识点目录、知识点的学习顺序、知识点内容、知识点标签、知识关系汇总、知识点包含教学资源、知识点的简介。</w:t>
      </w:r>
    </w:p>
    <w:p w14:paraId="3CC74A5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支持知识点收藏，用户可根据自身需求对知识点进行收藏与取消收藏等操作。</w:t>
      </w:r>
    </w:p>
    <w:p w14:paraId="447BD375">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实现知识图谱导出：知识图谱能以png、jpg图片格式导出，知识图谱的知识关系能以xlsx格式导出。</w:t>
      </w:r>
    </w:p>
    <w:p w14:paraId="28B50764">
      <w:pPr>
        <w:numPr>
          <w:ilvl w:val="0"/>
          <w:numId w:val="15"/>
        </w:numPr>
        <w:ind w:left="-442" w:leftChars="0" w:firstLine="442" w:firstLineChars="0"/>
        <w:outlineLvl w:val="2"/>
        <w:rPr>
          <w:rFonts w:hint="eastAsia" w:ascii="宋体" w:hAnsi="宋体" w:eastAsia="宋体" w:cs="宋体"/>
          <w:b/>
          <w:bCs/>
          <w:sz w:val="22"/>
          <w:szCs w:val="22"/>
        </w:rPr>
      </w:pPr>
      <w:bookmarkStart w:id="132" w:name="_Toc24848"/>
      <w:bookmarkStart w:id="133" w:name="_Toc8955"/>
      <w:r>
        <w:rPr>
          <w:rFonts w:hint="eastAsia" w:ascii="宋体" w:hAnsi="宋体" w:eastAsia="宋体" w:cs="宋体"/>
          <w:b/>
          <w:bCs/>
          <w:sz w:val="22"/>
          <w:szCs w:val="22"/>
        </w:rPr>
        <w:t>能力图谱构建要求</w:t>
      </w:r>
      <w:bookmarkEnd w:id="132"/>
      <w:bookmarkEnd w:id="133"/>
    </w:p>
    <w:p w14:paraId="3843099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编辑课程能力目标，包含课程目标描述、课程目标拆解、课程目标详情。其中课程目标拆解需设置主能力目标、子能力目标、关联知识点等，并统计每个能力目标的知识点覆盖率等，同时能力目标数量需设置不设上限。</w:t>
      </w:r>
    </w:p>
    <w:p w14:paraId="76578175">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支持分类标记能力和下属子能力，可划分为知识、技能、素养3个维度，能够统计每个维度下子能力、知识点的数量，主能力支持关联毕业要求。</w:t>
      </w:r>
    </w:p>
    <w:p w14:paraId="71C3E2E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同一课程分版本教学（新建不同版本），选择不同知识/能力/考核点，设置各版本运行时间，导入学生名单，生成差异化智能体与AI指令库。生成好的版本支持能力达成度自定义权重及能力达成度测算，根据所设置的课程能力目标，自动计算每个能力/子能力所覆盖的知识模块、知识点详情。可通过能力详情，预览关联的知识体系等，并根据学生/班级能力达成度分析。</w:t>
      </w:r>
    </w:p>
    <w:p w14:paraId="4C2616DC">
      <w:pPr>
        <w:numPr>
          <w:ilvl w:val="0"/>
          <w:numId w:val="14"/>
        </w:numPr>
        <w:ind w:left="0" w:firstLine="440" w:firstLineChars="200"/>
        <w:rPr>
          <w:rFonts w:hint="eastAsia" w:ascii="宋体" w:hAnsi="宋体" w:eastAsia="宋体" w:cs="宋体"/>
          <w:color w:val="0000FF"/>
          <w:sz w:val="22"/>
          <w:szCs w:val="22"/>
        </w:rPr>
      </w:pPr>
      <w:r>
        <w:rPr>
          <w:rFonts w:hint="eastAsia" w:ascii="宋体" w:hAnsi="宋体" w:eastAsia="宋体" w:cs="宋体"/>
          <w:sz w:val="22"/>
          <w:szCs w:val="22"/>
        </w:rPr>
        <w:t>支持展示课程的课程目标，包括课程的能力数量、子能力数量、覆盖知识点内容等信息。</w:t>
      </w:r>
    </w:p>
    <w:p w14:paraId="0BE891FF">
      <w:pPr>
        <w:numPr>
          <w:ilvl w:val="0"/>
          <w:numId w:val="15"/>
        </w:numPr>
        <w:ind w:left="-442" w:leftChars="0" w:firstLine="442" w:firstLineChars="0"/>
        <w:outlineLvl w:val="2"/>
        <w:rPr>
          <w:rFonts w:hint="eastAsia" w:ascii="宋体" w:hAnsi="宋体" w:eastAsia="宋体" w:cs="宋体"/>
          <w:b/>
          <w:bCs/>
          <w:sz w:val="22"/>
          <w:szCs w:val="22"/>
        </w:rPr>
      </w:pPr>
      <w:bookmarkStart w:id="134" w:name="_Toc12965"/>
      <w:bookmarkStart w:id="135" w:name="_Toc20307"/>
      <w:r>
        <w:rPr>
          <w:rFonts w:hint="eastAsia" w:ascii="宋体" w:hAnsi="宋体" w:eastAsia="宋体" w:cs="宋体"/>
          <w:b/>
          <w:bCs/>
          <w:sz w:val="22"/>
          <w:szCs w:val="22"/>
        </w:rPr>
        <w:t>课程AI学伴数字人形象</w:t>
      </w:r>
      <w:bookmarkEnd w:id="134"/>
      <w:bookmarkEnd w:id="135"/>
    </w:p>
    <w:p w14:paraId="5C01FDC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支持根据用户提供的有清晰正脸的人物照片（支持JPG/PNG）和语音（支持MP3/WAV），平台自动创建高相似度的数字人分身。支持平台提供不少于5个公共形象库资源，用户自行选择形象。用户可自定义</w:t>
      </w:r>
      <w:r>
        <w:rPr>
          <w:rFonts w:ascii="宋体" w:hAnsi="宋体" w:eastAsia="宋体" w:cs="宋体"/>
          <w:sz w:val="22"/>
          <w:szCs w:val="22"/>
        </w:rPr>
        <w:t>AI学伴</w:t>
      </w:r>
      <w:r>
        <w:rPr>
          <w:rFonts w:hint="eastAsia" w:ascii="宋体" w:hAnsi="宋体" w:eastAsia="宋体" w:cs="宋体"/>
          <w:sz w:val="22"/>
          <w:szCs w:val="22"/>
        </w:rPr>
        <w:t>名称、设置专属开场白，提供美颜、磨皮等形象调整工具，调整后可实时预览效果，确保数字人形象符合课程风格与使用需求。</w:t>
      </w:r>
    </w:p>
    <w:p w14:paraId="537250C0">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w:t>
      </w:r>
      <w:r>
        <w:rPr>
          <w:rFonts w:ascii="宋体" w:hAnsi="宋体" w:eastAsia="宋体" w:cs="宋体"/>
          <w:sz w:val="22"/>
          <w:szCs w:val="22"/>
        </w:rPr>
        <w:t>AI学伴数字人</w:t>
      </w:r>
      <w:r>
        <w:rPr>
          <w:rFonts w:hint="eastAsia" w:ascii="宋体" w:hAnsi="宋体" w:eastAsia="宋体" w:cs="宋体"/>
          <w:sz w:val="22"/>
          <w:szCs w:val="22"/>
        </w:rPr>
        <w:t xml:space="preserve">形象在多场景灵活呈现，包括课程主页、AI对话界面、ppt插件课堂活动页面、学生端知识点学习页面及个性化学习路径页面， </w:t>
      </w:r>
      <w:r>
        <w:rPr>
          <w:rFonts w:ascii="宋体" w:hAnsi="宋体" w:eastAsia="宋体" w:cs="宋体"/>
          <w:sz w:val="22"/>
          <w:szCs w:val="22"/>
        </w:rPr>
        <w:t>AI学伴数字人</w:t>
      </w:r>
      <w:r>
        <w:rPr>
          <w:rFonts w:hint="eastAsia" w:ascii="宋体" w:hAnsi="宋体" w:eastAsia="宋体" w:cs="宋体"/>
          <w:sz w:val="22"/>
          <w:szCs w:val="22"/>
        </w:rPr>
        <w:t>说话口型、肢体动作与语音内容匹配且自然。</w:t>
      </w:r>
    </w:p>
    <w:p w14:paraId="1BA9CBF4">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支持采集老师原声并复刻应用于</w:t>
      </w:r>
      <w:r>
        <w:rPr>
          <w:rFonts w:ascii="宋体" w:hAnsi="宋体" w:eastAsia="宋体" w:cs="宋体"/>
          <w:sz w:val="22"/>
          <w:szCs w:val="22"/>
        </w:rPr>
        <w:t>AI学伴数字人</w:t>
      </w:r>
      <w:r>
        <w:rPr>
          <w:rFonts w:hint="eastAsia" w:ascii="宋体" w:hAnsi="宋体" w:eastAsia="宋体" w:cs="宋体"/>
          <w:sz w:val="22"/>
          <w:szCs w:val="22"/>
        </w:rPr>
        <w:t>，在课前预习引导、课中内容讲解、课后答疑辅导等场景中与学生互动，提升学生的熟悉感与学习代入感。​</w:t>
      </w:r>
    </w:p>
    <w:p w14:paraId="57A202EF">
      <w:pPr>
        <w:numPr>
          <w:ilvl w:val="0"/>
          <w:numId w:val="15"/>
        </w:numPr>
        <w:ind w:left="-442" w:leftChars="0" w:firstLine="442" w:firstLineChars="0"/>
        <w:outlineLvl w:val="2"/>
        <w:rPr>
          <w:rFonts w:hint="eastAsia" w:ascii="宋体" w:hAnsi="宋体" w:eastAsia="宋体" w:cs="宋体"/>
          <w:b/>
          <w:bCs/>
          <w:sz w:val="22"/>
          <w:szCs w:val="22"/>
        </w:rPr>
      </w:pPr>
      <w:bookmarkStart w:id="136" w:name="_Toc16146"/>
      <w:bookmarkStart w:id="137" w:name="_Toc5813"/>
      <w:r>
        <w:rPr>
          <w:rFonts w:hint="eastAsia" w:ascii="宋体" w:hAnsi="宋体" w:eastAsia="宋体" w:cs="宋体"/>
          <w:b/>
          <w:bCs/>
          <w:sz w:val="22"/>
          <w:szCs w:val="22"/>
        </w:rPr>
        <w:t>课程图谱题库建设</w:t>
      </w:r>
      <w:bookmarkEnd w:id="136"/>
      <w:bookmarkEnd w:id="137"/>
    </w:p>
    <w:p w14:paraId="5C2135C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支持多种题型的创建管理，包含单选题、多选题、判断题、填空题、问答题、组合题六类。</w:t>
      </w:r>
    </w:p>
    <w:p w14:paraId="4F4DACD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题目题干、答案及解析支持富文本编辑，包括内容录入、图片录入、格式刷、字体更改、字号更改，支持插入链接，支持Mathtype、latex公式编辑器,支持上传任意格式附件。</w:t>
      </w:r>
    </w:p>
    <w:p w14:paraId="0AB586A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单选题支持设置一个标准答案，可新增、删除答案选项。多选题支持设置多个标准答案，可新增、删除答案选项。判断题支持设置一个标准答案，选项内容包括“对”和“错”两项。填空题支持设置多个标准答案，可新增、删除答案选项。问答题支持设置一个标准答案，可新增、删除答案选项。组合题支持在题目中设置多个题型的子题目，题型至少包括单选题、多选题、判断题、填空题和问答题，子题目数量上限不少于10道，支持调整子题目顺序，支持删除子题目。</w:t>
      </w:r>
    </w:p>
    <w:p w14:paraId="6CAA38A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支持通过word和Excel模板导入的形式新建题目，支持下载导入模板，支持基于模板自动识别试题，并返回识别结果，支持选择部分试题进行导入，支持对识别后的试题进行修改。具备批量编辑和删除题目的功能。</w:t>
      </w:r>
    </w:p>
    <w:p w14:paraId="6E8F170D">
      <w:pPr>
        <w:numPr>
          <w:ilvl w:val="0"/>
          <w:numId w:val="13"/>
        </w:numPr>
        <w:ind w:left="0" w:leftChars="0" w:firstLine="0" w:firstLineChars="0"/>
        <w:outlineLvl w:val="1"/>
        <w:rPr>
          <w:rFonts w:hint="eastAsia" w:ascii="宋体" w:hAnsi="宋体" w:eastAsia="宋体" w:cs="宋体"/>
          <w:b/>
          <w:bCs/>
          <w:sz w:val="22"/>
          <w:szCs w:val="22"/>
        </w:rPr>
      </w:pPr>
      <w:bookmarkStart w:id="138" w:name="_Toc24689"/>
      <w:bookmarkStart w:id="139" w:name="_Toc1484"/>
      <w:r>
        <w:rPr>
          <w:rFonts w:hint="eastAsia" w:ascii="宋体" w:hAnsi="宋体" w:eastAsia="宋体" w:cs="宋体"/>
          <w:b/>
          <w:bCs/>
          <w:sz w:val="22"/>
          <w:szCs w:val="22"/>
        </w:rPr>
        <w:t>课程知识库</w:t>
      </w:r>
      <w:bookmarkEnd w:id="138"/>
      <w:bookmarkEnd w:id="139"/>
    </w:p>
    <w:p w14:paraId="02743BD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对多类型文件解析：可对教材书籍、教学视频、教案课件、相关论文等多种文件格式进行解析，提取各类文件中的关键信息，实现知识资源的整合，为后续的知识管理与应用提供基础数据支持。</w:t>
      </w:r>
    </w:p>
    <w:p w14:paraId="40298E1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对海量字符解析：具备字符解析能力，能够处理百万级别的字符量，系统可对文档内容进行深度挖掘，精准识别语法结构、语义关系等，确保对文档知识的准确理解与提取，为知识体系的构建提供文档数据。</w:t>
      </w:r>
    </w:p>
    <w:p w14:paraId="153CC50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图片提取：能够从各类资源中自动提取图片，提取数量可达数百张，提取后的图片可用于辅助知识呈现，为知识的可视化表达提供素材。</w:t>
      </w:r>
    </w:p>
    <w:p w14:paraId="57605325">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2562A0F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资源分类管理：可将资源按照知识图谱资源、课程总资源等不同类别进行划分与管理。在每个类别下，还能进一步细分不同主题，方便用户快速定位和查找。</w:t>
      </w:r>
    </w:p>
    <w:p w14:paraId="53C5D42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智能资源搜索：用户通过输入关键词、短语等方式，即可快速检索所需资源。系统具备智能匹配与精准定位能力，能够在海量资源中迅速筛选出相关资源，并按照相关性等因素进行排序展示，提升资源查找效率。</w:t>
      </w:r>
    </w:p>
    <w:p w14:paraId="6768033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便捷资源添加：设置资源添加模块，支持单次添加1G以内的资源，支持多种资源添加方式，包括但不限于视频、图谱、音频、PPT、文档。</w:t>
      </w:r>
    </w:p>
    <w:p w14:paraId="1C50B0F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资源数量与大小统计：呈现各类资源的数量及大小信息，如各类型资源的数量以及对应的存储空间大小等。直观了解资源库的存储情况，便于进行资源管理、空间规划以及资源使用评估。</w:t>
      </w:r>
    </w:p>
    <w:p w14:paraId="5EA1FF5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资源详情查看：课程总资源模块包含视频、音频、图片、文档、PPT、教材书籍及其他多种资源类型。针对每种资源类型设置便捷的操作按钮，用户点击按钮后，可快速进入资源详情查看界面</w:t>
      </w:r>
      <w:r>
        <w:rPr>
          <w:rFonts w:ascii="宋体" w:hAnsi="宋体" w:eastAsia="宋体" w:cs="宋体"/>
          <w:sz w:val="22"/>
          <w:szCs w:val="22"/>
        </w:rPr>
        <w:t>，</w:t>
      </w:r>
      <w:r>
        <w:rPr>
          <w:rFonts w:hint="eastAsia" w:ascii="宋体" w:hAnsi="宋体" w:eastAsia="宋体" w:cs="宋体"/>
          <w:sz w:val="22"/>
          <w:szCs w:val="22"/>
        </w:rPr>
        <w:t>界面</w:t>
      </w:r>
      <w:r>
        <w:rPr>
          <w:rFonts w:ascii="宋体" w:hAnsi="宋体" w:eastAsia="宋体" w:cs="宋体"/>
          <w:sz w:val="22"/>
          <w:szCs w:val="22"/>
        </w:rPr>
        <w:t>包括但不限于资源名称、文件大小、创建时间、文件格式等。</w:t>
      </w:r>
    </w:p>
    <w:p w14:paraId="07CCD5D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文件资源预览：针对某一类资源类型下的单个具体资源进行预览查看操作，且可以查看该资源的处理状态、上传人、更新时间等信息。</w:t>
      </w:r>
    </w:p>
    <w:p w14:paraId="583465E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知识库资源汇总展示：汇总展示知识库内各类资源数量，包括但不限于文件解析数、知识点同步数、字符解析数、图片提取数以及音视频时长。</w:t>
      </w:r>
    </w:p>
    <w:p w14:paraId="6D36561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多样化资源展示形式：支持文档、图片、音视频等多种资源展示形式。系统根据不同资源类型的特点，采用相应的展示方式，如文档的高亮显示、音视频的倍速播放等，以适应不同用户的学习习惯和资源查看需求。</w:t>
      </w:r>
    </w:p>
    <w:p w14:paraId="632FC620">
      <w:pPr>
        <w:numPr>
          <w:ilvl w:val="0"/>
          <w:numId w:val="13"/>
        </w:numPr>
        <w:ind w:left="0" w:leftChars="0" w:firstLine="0" w:firstLineChars="0"/>
        <w:outlineLvl w:val="1"/>
        <w:rPr>
          <w:rFonts w:hint="eastAsia" w:ascii="宋体" w:hAnsi="宋体" w:eastAsia="宋体" w:cs="宋体"/>
          <w:b/>
          <w:bCs/>
          <w:sz w:val="22"/>
          <w:szCs w:val="22"/>
        </w:rPr>
      </w:pPr>
      <w:bookmarkStart w:id="140" w:name="_Toc13729"/>
      <w:bookmarkStart w:id="141" w:name="_Toc32177"/>
      <w:r>
        <w:rPr>
          <w:rFonts w:hint="eastAsia" w:ascii="宋体" w:hAnsi="宋体" w:eastAsia="宋体" w:cs="宋体"/>
          <w:b/>
          <w:bCs/>
          <w:sz w:val="22"/>
          <w:szCs w:val="22"/>
        </w:rPr>
        <w:t>教师教学及管理功能</w:t>
      </w:r>
      <w:bookmarkEnd w:id="140"/>
      <w:bookmarkEnd w:id="141"/>
    </w:p>
    <w:p w14:paraId="3256E5EB">
      <w:pPr>
        <w:numPr>
          <w:ilvl w:val="0"/>
          <w:numId w:val="16"/>
        </w:numPr>
        <w:ind w:left="-442" w:leftChars="0" w:firstLine="442" w:firstLineChars="0"/>
        <w:outlineLvl w:val="2"/>
        <w:rPr>
          <w:rFonts w:hint="eastAsia" w:ascii="宋体" w:hAnsi="宋体" w:eastAsia="宋体" w:cs="宋体"/>
          <w:b/>
          <w:bCs/>
          <w:sz w:val="22"/>
          <w:szCs w:val="22"/>
        </w:rPr>
      </w:pPr>
      <w:bookmarkStart w:id="142" w:name="_Toc515"/>
      <w:bookmarkStart w:id="143" w:name="_Toc26693"/>
      <w:r>
        <w:rPr>
          <w:rFonts w:hint="eastAsia" w:ascii="宋体" w:hAnsi="宋体" w:eastAsia="宋体" w:cs="宋体"/>
          <w:b/>
          <w:bCs/>
          <w:sz w:val="22"/>
          <w:szCs w:val="22"/>
        </w:rPr>
        <w:t>教学工作台</w:t>
      </w:r>
      <w:bookmarkEnd w:id="142"/>
      <w:bookmarkEnd w:id="143"/>
    </w:p>
    <w:p w14:paraId="6C4BA7E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教师可快速开启教学管理活动，至少包括编辑课程内容、创建教学班级、发布教学任务、PPT智能备课、发布课后测验、学生成绩管理、课程教学观测、学生画像分析等活动。</w:t>
      </w:r>
    </w:p>
    <w:p w14:paraId="2D75ED9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以发布各类教学任务，至少包括知识点学习、作业测试、考试、话题讨论、通知公告、闯关模式学习、资源学习、题库、试卷库、课堂教学活动。各类任务完成情况可通过运行中、未开始、已结束三种类型进行观测。</w:t>
      </w:r>
    </w:p>
    <w:p w14:paraId="2028803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教师可以发布课前任务相关教学活动，学生需了解课前必须掌握的知识点内容及相关掌握情况，老师可实时查看知识点任务学习数据。</w:t>
      </w:r>
    </w:p>
    <w:p w14:paraId="4CCB86F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统计教学班级情况，至少包括班级内的教学运行数据、教学运行周期数据、知识点平均掌握度与学习趋势、课程内全部知识点的掌握度情况与薄弱知识点情况。</w:t>
      </w:r>
    </w:p>
    <w:p w14:paraId="3705620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搭建AI智慧空间：在AI智慧空间中统计本课程下相关智能体、课程特色AI指令、AI工具的总体使用情况，如：智能体总使用次数、建设学校、智能体的引导对话，同时统计本课程下所有智能体的累积使用次数。在课程特色AI指令中，构建不少于12个AI指令，统计每个AI指令总体的学习使用人次情况和所有AI指令累计使用次数。在AI工具中，构建不少于12个AI工具，并统计每个AI教学工具的使用次数。</w:t>
      </w:r>
    </w:p>
    <w:p w14:paraId="648FB95B">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支持动态统计本课程中AI工具使用排行榜，每天动态获取用户常用AI工具，并通过排行榜帮助教师了解课程当前运行情况。</w:t>
      </w:r>
    </w:p>
    <w:p w14:paraId="78C6C513">
      <w:pPr>
        <w:numPr>
          <w:ilvl w:val="0"/>
          <w:numId w:val="14"/>
        </w:numPr>
        <w:ind w:left="0" w:firstLine="440" w:firstLineChars="200"/>
        <w:rPr>
          <w:rFonts w:hint="eastAsia" w:ascii="宋体" w:hAnsi="宋体" w:eastAsia="宋体" w:cs="宋体"/>
          <w:kern w:val="0"/>
          <w:sz w:val="22"/>
          <w:szCs w:val="22"/>
        </w:rPr>
      </w:pPr>
      <w:r>
        <w:rPr>
          <w:rFonts w:hint="eastAsia" w:ascii="宋体" w:hAnsi="宋体" w:eastAsia="宋体" w:cs="宋体"/>
          <w:sz w:val="22"/>
          <w:szCs w:val="22"/>
        </w:rPr>
        <w:t>支持问题收集管理：系统可收集班级内学生与</w:t>
      </w:r>
      <w:r>
        <w:rPr>
          <w:rFonts w:ascii="宋体" w:hAnsi="宋体" w:eastAsia="宋体" w:cs="宋体"/>
          <w:sz w:val="22"/>
          <w:szCs w:val="22"/>
        </w:rPr>
        <w:t>AI学伴</w:t>
      </w:r>
      <w:r>
        <w:rPr>
          <w:rFonts w:hint="eastAsia" w:ascii="宋体" w:hAnsi="宋体" w:eastAsia="宋体" w:cs="宋体"/>
          <w:sz w:val="22"/>
          <w:szCs w:val="22"/>
        </w:rPr>
        <w:t>的互动，收集内容包含提问者姓名、班级、问题记录、AI回复记录、评价等。</w:t>
      </w:r>
    </w:p>
    <w:p w14:paraId="7C83751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成绩规则自定义设置：教师可通过多种维度进行成绩规则设置，如掌握度、学习进度、作业测验、考试、小组作业、签到出勤率、课堂活动、话题讨论、线下成绩等，上述所有维度均可设置百分比，便于综合评判教学效果。</w:t>
      </w:r>
    </w:p>
    <w:p w14:paraId="5A30EC9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掌握度与学习进度配置：教师可制定学习进度规则，如：仅必学资源计入计算、必学资源及选学资源均计入计算、都不计入等，同时也可设置免考知识点，设置完成后，该知识点不会计入到学生总体成绩评估。</w:t>
      </w:r>
    </w:p>
    <w:p w14:paraId="21F258D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生成图文结合的教学运行报告：教学运行报告需给予开课学校详细合理的分析，分析维度至少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p>
    <w:p w14:paraId="69462795">
      <w:pPr>
        <w:numPr>
          <w:ilvl w:val="0"/>
          <w:numId w:val="14"/>
        </w:numPr>
        <w:ind w:left="0" w:firstLine="440" w:firstLineChars="200"/>
        <w:rPr>
          <w:rFonts w:hint="eastAsia" w:ascii="宋体" w:hAnsi="宋体" w:eastAsia="宋体" w:cs="宋体"/>
          <w:kern w:val="0"/>
          <w:sz w:val="22"/>
          <w:szCs w:val="22"/>
        </w:rPr>
      </w:pPr>
      <w:r>
        <w:rPr>
          <w:rFonts w:hint="eastAsia" w:ascii="宋体" w:hAnsi="宋体" w:eastAsia="宋体" w:cs="宋体"/>
          <w:sz w:val="22"/>
          <w:szCs w:val="22"/>
        </w:rPr>
        <w:t>支持</w:t>
      </w:r>
      <w:r>
        <w:rPr>
          <w:rFonts w:ascii="宋体" w:hAnsi="宋体" w:eastAsia="宋体" w:cs="宋体"/>
          <w:sz w:val="22"/>
          <w:szCs w:val="22"/>
        </w:rPr>
        <w:t>AI学伴</w:t>
      </w:r>
      <w:r>
        <w:rPr>
          <w:rFonts w:hint="eastAsia" w:ascii="宋体" w:hAnsi="宋体" w:eastAsia="宋体" w:cs="宋体"/>
          <w:sz w:val="22"/>
          <w:szCs w:val="22"/>
        </w:rPr>
        <w:t>根据班级实际学习情况，检索学习相对较差较难的知识点，协助教师挖掘课程教学的漏洞。</w:t>
      </w:r>
    </w:p>
    <w:p w14:paraId="463AA86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w:t>
      </w:r>
      <w:r>
        <w:rPr>
          <w:rFonts w:ascii="宋体" w:hAnsi="宋体" w:eastAsia="宋体" w:cs="宋体"/>
          <w:sz w:val="22"/>
          <w:szCs w:val="22"/>
        </w:rPr>
        <w:t>AI学伴</w:t>
      </w:r>
      <w:r>
        <w:rPr>
          <w:rFonts w:hint="eastAsia" w:ascii="宋体" w:hAnsi="宋体" w:eastAsia="宋体" w:cs="宋体"/>
          <w:sz w:val="22"/>
          <w:szCs w:val="22"/>
        </w:rPr>
        <w:t>满意度分析，收集学生对课程</w:t>
      </w:r>
      <w:r>
        <w:rPr>
          <w:rFonts w:ascii="宋体" w:hAnsi="宋体" w:eastAsia="宋体" w:cs="宋体"/>
          <w:sz w:val="22"/>
          <w:szCs w:val="22"/>
        </w:rPr>
        <w:t>AI学伴</w:t>
      </w:r>
      <w:r>
        <w:rPr>
          <w:rFonts w:hint="eastAsia" w:ascii="宋体" w:hAnsi="宋体" w:eastAsia="宋体" w:cs="宋体"/>
          <w:sz w:val="22"/>
          <w:szCs w:val="22"/>
        </w:rPr>
        <w:t>的使用满意度，并进行满意度分析。</w:t>
      </w:r>
    </w:p>
    <w:p w14:paraId="3E51493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件管理：在课件管理空间创建不同的文件夹，可分类上传保存课件，支持教师设置课件分享的范围，至少包括可共享至课程老师、私密查看两种保存形式，上传的课件可以作为资源学习任务发布给学生，也可以直接按照班级分享给学生进行学习。</w:t>
      </w:r>
    </w:p>
    <w:p w14:paraId="4F71D23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支持教案管理：在教案管理空间创建不同的文件夹，可分类上传保存教案，支持教师设置教案分享的范围，至少包括可共享至课程老师、私密查看两种保存形式。</w:t>
      </w:r>
    </w:p>
    <w:p w14:paraId="5C9A53A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上传的教学资源支持教师查看、移动文件夹、下载、删除等操作。</w:t>
      </w:r>
    </w:p>
    <w:p w14:paraId="43E3BA2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支持教师直接调用AI工具创建课件及教案，丰富教学资源库。</w:t>
      </w:r>
    </w:p>
    <w:p w14:paraId="245ED3FB">
      <w:pPr>
        <w:numPr>
          <w:ilvl w:val="0"/>
          <w:numId w:val="16"/>
        </w:numPr>
        <w:ind w:left="-442" w:leftChars="0" w:firstLine="442" w:firstLineChars="0"/>
        <w:outlineLvl w:val="2"/>
        <w:rPr>
          <w:rFonts w:hint="eastAsia" w:ascii="宋体" w:hAnsi="宋体" w:eastAsia="宋体" w:cs="宋体"/>
          <w:b/>
          <w:bCs/>
          <w:sz w:val="22"/>
          <w:szCs w:val="22"/>
        </w:rPr>
      </w:pPr>
      <w:bookmarkStart w:id="144" w:name="_Toc20031"/>
      <w:bookmarkStart w:id="145" w:name="_Toc20400"/>
      <w:r>
        <w:rPr>
          <w:rFonts w:hint="eastAsia" w:ascii="宋体" w:hAnsi="宋体" w:eastAsia="宋体" w:cs="宋体"/>
          <w:b/>
          <w:bCs/>
          <w:sz w:val="22"/>
          <w:szCs w:val="22"/>
        </w:rPr>
        <w:t>教学管理</w:t>
      </w:r>
      <w:bookmarkEnd w:id="144"/>
      <w:bookmarkEnd w:id="145"/>
    </w:p>
    <w:p w14:paraId="08E3CD7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支持分析每日学习情况简讯：包括今日学生上线数量、教师上线数量、教师团队建设数据（教授、副教授、讲师、助教等身份）、学生学习相关数据（学生学习总人次、参与学生人数、参与率）。</w:t>
      </w:r>
    </w:p>
    <w:p w14:paraId="264E1FA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支持分析智慧课程运行成果：包括稳定运行时长、人均学习进度、平均掌握度、学生学习合格率等。</w:t>
      </w:r>
    </w:p>
    <w:p w14:paraId="1E221AB3">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支持分析课程学习变化趋势：包括学习人次变化趋势、人均学习进度变化趋势、平均掌握度变化趋势、合格率变化趋势等。</w:t>
      </w:r>
    </w:p>
    <w:p w14:paraId="1D66F941">
      <w:pPr>
        <w:numPr>
          <w:ilvl w:val="0"/>
          <w:numId w:val="14"/>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提供教师端教学和学生端学习小程序：学生可一键登录小程序进行学习，学习内容包含动态知识图谱查看、教学任务查看、知识点资源学习、知识点题目练习、考试题目练习等，其中小程序必须包含课程薄弱题练习系统，AI可根据学生当前学习状态推荐错题、收藏题目、相关知识点等内容，在小程序中观看教师推送的教学课件，可进入到课堂教学参与问卷、投票、抢答、头脑风暴等。同时支持教师通过教学小程序一键控制PPT插件内容，包括课堂教学与学生管理，其中课堂教学可进行签到、点名、投票、抢答等相关操作与记录，并且可将教学内容投屏到电脑中进行教学，同时教师可对学生进行统一管理，管理范围包括预览班级中所有学生的姓名、学号、院校、身份与入班时间，查看学生每一位学生的知识点掌握度、学习进度等信息。</w:t>
      </w:r>
    </w:p>
    <w:p w14:paraId="1274FD3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分组教学完成课程活动，分组教学模式包含随机分组、教师分组、学生自由分组。随机分组中，用户可设置小组数量，系统根据小组数量动态分布学生完成分组；教师分组时，教师可选择小组数量，系统会自动评估在当前分组中每个组的预计人员数量，并且可设置小组组长；学生自由分组时，在老师的规定时间内，组长可在系统中先自建小组口令，进入小组后，将口令分享给组员，组员录入口令后即可进入小组完成组队。教师以组为单位分配作业任务、安排课堂活动和收集学生作业。</w:t>
      </w:r>
    </w:p>
    <w:p w14:paraId="2D240A1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支持课程学生管理：支持导入学生名单，可查看导入失败学生名单，方便老师联系学生及时注册认证用户。可移除导入错误的学生。</w:t>
      </w:r>
    </w:p>
    <w:p w14:paraId="5AA30025">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课程运行总体数据统计：可查看课程学习的学生数量、课程的人均学习进度、全部学生已学内容掌握度和平均值等数据，并且分析出各个同学各阶段的合格率情况、人均学习进度分布与平均掌握度分布等情况。</w:t>
      </w:r>
    </w:p>
    <w:p w14:paraId="3A4980B4">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支持查看学生学习详情：可查看课程内的每位学生的学习详情，包含学生加入课程的时间、课程内知识点的学习进度以及已学内容的掌握度。</w:t>
      </w:r>
    </w:p>
    <w:p w14:paraId="30DB5D7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支持查看知识点学习详情：可查看每个知识点的学生完成率以及近一周的提升情况，可查看每个知识点的平均掌握度以及不同范围掌握度的学生分布情况。</w:t>
      </w:r>
    </w:p>
    <w:p w14:paraId="0A08634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学生个人分析报告：可查看学生的所有知识点学习的平均掌握度、资料总学习时长、总练习时长、总练习次数。可查看学生对每个知识点学习的掌握度以及班级的平均掌握度。可查看学生对每个知识点的资料学习时长、练习时长、练习次数。</w:t>
      </w:r>
    </w:p>
    <w:p w14:paraId="3B4FD703">
      <w:pPr>
        <w:numPr>
          <w:ilvl w:val="0"/>
          <w:numId w:val="16"/>
        </w:numPr>
        <w:ind w:left="-442" w:leftChars="0" w:firstLine="442" w:firstLineChars="0"/>
        <w:outlineLvl w:val="2"/>
        <w:rPr>
          <w:rFonts w:hint="eastAsia" w:ascii="宋体" w:hAnsi="宋体" w:eastAsia="宋体" w:cs="宋体"/>
          <w:b/>
          <w:bCs/>
          <w:sz w:val="22"/>
          <w:szCs w:val="22"/>
        </w:rPr>
      </w:pPr>
      <w:bookmarkStart w:id="146" w:name="_Toc9505"/>
      <w:bookmarkStart w:id="147" w:name="_Toc15069"/>
      <w:r>
        <w:rPr>
          <w:rFonts w:hint="eastAsia" w:ascii="宋体" w:hAnsi="宋体" w:eastAsia="宋体" w:cs="宋体"/>
          <w:b/>
          <w:bCs/>
          <w:sz w:val="22"/>
          <w:szCs w:val="22"/>
        </w:rPr>
        <w:t>PPT插件备课及网页端教学</w:t>
      </w:r>
      <w:bookmarkEnd w:id="146"/>
      <w:bookmarkEnd w:id="147"/>
    </w:p>
    <w:p w14:paraId="1577CF7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PPT插件，支持在教学PPT中一键插入智慧课程资源（知识点/资源/题目/视频/问题点），用于教师日常备课，可上传课件库并在网页端进行授课，支持从共享/个人课件库及本地导入课件，学生端同步查看课件翻页。教师端调用课堂互动工具（签到/点名/抢答/投票/问卷/头脑风暴）并查看情况，学生端实时接收互动提醒。</w:t>
      </w:r>
    </w:p>
    <w:p w14:paraId="305F309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教师在PPT播放页面中点击插入的知识点按钮，可打开知识点内容进行教学。教师在PPT播放页面中点击插入的问题卡片按钮，可打开问题内容进行教学。</w:t>
      </w:r>
    </w:p>
    <w:p w14:paraId="4ED816A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教师可查看发布的随堂测验的答题情况，包括题目的参与人数、正确率、每个选项选择的人数，以及每位参与同学的答题记录。</w:t>
      </w:r>
    </w:p>
    <w:p w14:paraId="52EAD46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教师可查看发布的课堂签到记录，包括已签到学生的姓名、学号、签到时间，以及未签到学生的姓名和学号。</w:t>
      </w:r>
    </w:p>
    <w:p w14:paraId="55B56FF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教师可点击PPT插件中的随机点名，系统根据班级中已经签到的学生进行随机抽取点名。教师可查看发布的课堂点名记录，包括已点名学生的姓名、学号、点名时间。</w:t>
      </w:r>
    </w:p>
    <w:p w14:paraId="7AAA7C48">
      <w:pPr>
        <w:numPr>
          <w:ilvl w:val="0"/>
          <w:numId w:val="13"/>
        </w:numPr>
        <w:ind w:left="0" w:leftChars="0" w:firstLine="0" w:firstLineChars="0"/>
        <w:outlineLvl w:val="1"/>
        <w:rPr>
          <w:rFonts w:hint="eastAsia" w:ascii="宋体" w:hAnsi="宋体" w:eastAsia="宋体" w:cs="宋体"/>
          <w:b/>
          <w:bCs/>
          <w:sz w:val="22"/>
          <w:szCs w:val="22"/>
        </w:rPr>
      </w:pPr>
      <w:bookmarkStart w:id="148" w:name="_Toc22589"/>
      <w:bookmarkStart w:id="149" w:name="_Toc30374"/>
      <w:r>
        <w:rPr>
          <w:rFonts w:hint="eastAsia" w:ascii="宋体" w:hAnsi="宋体" w:eastAsia="宋体" w:cs="宋体"/>
          <w:b/>
          <w:bCs/>
          <w:sz w:val="22"/>
          <w:szCs w:val="22"/>
        </w:rPr>
        <w:t>教师AI应用服务</w:t>
      </w:r>
      <w:bookmarkEnd w:id="148"/>
      <w:bookmarkEnd w:id="149"/>
    </w:p>
    <w:p w14:paraId="2DF84062">
      <w:pPr>
        <w:numPr>
          <w:ilvl w:val="0"/>
          <w:numId w:val="17"/>
        </w:numPr>
        <w:ind w:firstLine="442" w:firstLineChars="200"/>
        <w:outlineLvl w:val="2"/>
        <w:rPr>
          <w:rFonts w:hint="eastAsia" w:ascii="宋体" w:hAnsi="宋体" w:eastAsia="宋体" w:cs="宋体"/>
          <w:b/>
          <w:bCs/>
          <w:sz w:val="22"/>
          <w:szCs w:val="22"/>
        </w:rPr>
      </w:pPr>
      <w:bookmarkStart w:id="150" w:name="_Toc7566"/>
      <w:bookmarkStart w:id="151" w:name="_Toc24846"/>
      <w:r>
        <w:rPr>
          <w:rFonts w:hint="eastAsia" w:ascii="宋体" w:hAnsi="宋体" w:eastAsia="宋体" w:cs="宋体"/>
          <w:b/>
          <w:bCs/>
          <w:sz w:val="22"/>
          <w:szCs w:val="22"/>
        </w:rPr>
        <w:t>课程特色AI指令</w:t>
      </w:r>
      <w:bookmarkEnd w:id="150"/>
      <w:bookmarkEnd w:id="151"/>
    </w:p>
    <w:p w14:paraId="6FCB3BC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提供快捷指令，包含通用快捷指令和自定义快捷指令，支持按照指令分组进行分类筛选查看，同时支持进入指令中心管理界面进行指令的查找。</w:t>
      </w:r>
    </w:p>
    <w:p w14:paraId="62C054D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通过检索框输入关键词检索指令，支持关键词在指令的名称及描述内容范围内检索，进行精确匹配。</w:t>
      </w:r>
    </w:p>
    <w:p w14:paraId="0784CF4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支持在指令管理中心设置新的分类，打造个性化指令库，每个分类下自动统计指令数量。点击具体指令，可跳转对应的指令提问页面直接使用。</w:t>
      </w:r>
    </w:p>
    <w:p w14:paraId="5E0B3A5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教师能够在各指令分组下创建个人专属课程特色指令，支持两种指令创建模式，一是简单指令，支持输入指令标题及指令内容描述，形成标准化固定问题，引用时可直接点击发送提问；二是复杂指令，支持在标准指令的基础上增加变量的输入，形成半开放式引导性问题，引用时可自定义替换变量内容后发送提问，支持个性化的提问方式。支持教师创建指令后选择是否将指令对学生开放使用，辅助学生问题导向性学习。</w:t>
      </w:r>
    </w:p>
    <w:p w14:paraId="62D3DCB0">
      <w:pPr>
        <w:numPr>
          <w:ilvl w:val="0"/>
          <w:numId w:val="17"/>
        </w:numPr>
        <w:ind w:firstLine="442" w:firstLineChars="200"/>
        <w:outlineLvl w:val="2"/>
        <w:rPr>
          <w:rFonts w:hint="eastAsia" w:ascii="宋体" w:hAnsi="宋体" w:eastAsia="宋体" w:cs="宋体"/>
          <w:b/>
          <w:bCs/>
          <w:sz w:val="22"/>
          <w:szCs w:val="22"/>
        </w:rPr>
      </w:pPr>
      <w:bookmarkStart w:id="152" w:name="_Toc25467"/>
      <w:bookmarkStart w:id="153" w:name="_Toc17372"/>
      <w:r>
        <w:rPr>
          <w:rFonts w:hint="eastAsia" w:ascii="宋体" w:hAnsi="宋体" w:eastAsia="宋体" w:cs="宋体"/>
          <w:b/>
          <w:bCs/>
          <w:sz w:val="22"/>
          <w:szCs w:val="22"/>
        </w:rPr>
        <w:t>课程智能体</w:t>
      </w:r>
      <w:bookmarkEnd w:id="152"/>
      <w:bookmarkEnd w:id="153"/>
    </w:p>
    <w:p w14:paraId="5D55DFD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支持教师结合课程内容自动构建专属智能体，也支持教师选择对话情景模板快速创建智能体。支持设置场景对话</w:t>
      </w:r>
      <w:r>
        <w:rPr>
          <w:rFonts w:hint="eastAsia" w:ascii="宋体" w:hAnsi="宋体" w:eastAsia="宋体" w:cs="宋体"/>
          <w:sz w:val="22"/>
          <w:szCs w:val="22"/>
          <w:lang w:eastAsia="zh-CN"/>
        </w:rPr>
        <w:t>模板</w:t>
      </w:r>
      <w:r>
        <w:rPr>
          <w:rFonts w:hint="eastAsia" w:ascii="宋体" w:hAnsi="宋体" w:eastAsia="宋体" w:cs="宋体"/>
          <w:sz w:val="22"/>
          <w:szCs w:val="22"/>
        </w:rPr>
        <w:t>及考核评分标准，对话界面支持自定义对话框颜色及背景，设置完成后可进行对话界面的预览。</w:t>
      </w:r>
    </w:p>
    <w:p w14:paraId="427A4A2C">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支持接入第三方智能体，可设置智能体个性化头像、创建人、智能体简介、智能体链接；支持设置智能体使用权限，例如支持版本内所有教师均可编辑、创建者可编辑。</w:t>
      </w:r>
    </w:p>
    <w:p w14:paraId="687C63DB">
      <w:pPr>
        <w:numPr>
          <w:ilvl w:val="0"/>
          <w:numId w:val="14"/>
        </w:numPr>
        <w:ind w:left="0" w:firstLine="440" w:firstLineChars="200"/>
        <w:rPr>
          <w:rFonts w:hint="eastAsia" w:ascii="宋体" w:hAnsi="宋体" w:eastAsia="宋体" w:cs="宋体"/>
          <w:b/>
          <w:bCs/>
          <w:sz w:val="22"/>
          <w:szCs w:val="22"/>
        </w:rPr>
      </w:pPr>
      <w:r>
        <w:rPr>
          <w:rFonts w:hint="eastAsia" w:ascii="宋体" w:hAnsi="宋体" w:eastAsia="宋体" w:cs="宋体"/>
          <w:sz w:val="22"/>
          <w:szCs w:val="22"/>
        </w:rPr>
        <w:t>支持设置课程智能体自定义技能，可设置智能体简介、开场白、不少于3个引导问题、智能体设定描述不低于5000字、智能体关联的知识库范围。支持与课程图谱引擎相关联，包括知识图谱、问题图谱、课程能力目标、学术资源推荐、网络资源推荐、思维导图等，用户可选择设置的回复模型不低于4个。支持发布前的调试与预览功能，允许用户在正式发布前进行调整、查看效果。支持设置编辑、使用权限。支持配置选择自定义创建的智能体是否共享至智能体广场，可共享到指定分类下。</w:t>
      </w:r>
    </w:p>
    <w:p w14:paraId="070FBBA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设置智能体测评任务，选定智能体后设置任务名称，选择发布班级、设定任务起止时间，通知方式支持小程序、短信、小程序和短信或不通知，支持设置允许重复练习的次数，也可不限制次数，支持设置任务满分值和计分标准，支持根据分数进行评级，可自定义添加评分等级分数要求、评级名称。支持查看学生的任务完成详情，包括已参与人数、未参与人数、每个学生的评测次数、成绩和评级。</w:t>
      </w:r>
    </w:p>
    <w:p w14:paraId="23DE166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智能体展示广场，集中呈现平台中广受认可和高频使用的优质智能体资源。支持实时公开智能体核心交互数据，包括智能体的总对话次数和当前活跃使用人数。教师可引用平台中展示的智能体，在引用时，智能体的使用数据会反馈统计到智能体来源课程中。</w:t>
      </w:r>
    </w:p>
    <w:p w14:paraId="76BE3113">
      <w:pPr>
        <w:numPr>
          <w:ilvl w:val="0"/>
          <w:numId w:val="17"/>
        </w:numPr>
        <w:ind w:firstLine="442" w:firstLineChars="200"/>
        <w:outlineLvl w:val="2"/>
        <w:rPr>
          <w:rFonts w:hint="eastAsia" w:ascii="宋体" w:hAnsi="宋体" w:eastAsia="宋体" w:cs="宋体"/>
          <w:b/>
          <w:bCs/>
          <w:sz w:val="22"/>
          <w:szCs w:val="22"/>
        </w:rPr>
      </w:pPr>
      <w:bookmarkStart w:id="154" w:name="_Toc17782"/>
      <w:bookmarkStart w:id="155" w:name="_Toc14498"/>
      <w:r>
        <w:rPr>
          <w:rFonts w:hint="eastAsia" w:ascii="宋体" w:hAnsi="宋体" w:eastAsia="宋体" w:cs="宋体"/>
          <w:b/>
          <w:bCs/>
          <w:sz w:val="22"/>
          <w:szCs w:val="22"/>
        </w:rPr>
        <w:t>AI工具应用服务</w:t>
      </w:r>
      <w:bookmarkEnd w:id="154"/>
      <w:bookmarkEnd w:id="155"/>
    </w:p>
    <w:p w14:paraId="37FA82A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知识点推荐相关学术资源，包括但不限于视频、论文、学术报告等。AI能够实现对公开领域及第三方资源的搜索与发现，如校外慕课、学术文献、网站资源等，用户点击可快速跳转至相关链接。支持可以实现推荐来源的个性化设置，用户可自主选择推荐内容的来源，并定制常用网站的关注模块。</w:t>
      </w:r>
    </w:p>
    <w:p w14:paraId="2073223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支持从既往发布的作业测验、学习任务或话题讨论中提取学生作业或考试内容，AI分析其重复率，从而实现学习行为的监测与评估。</w:t>
      </w:r>
    </w:p>
    <w:p w14:paraId="7BF4D193">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总结用户在一周内的教学和AI使用情况，包括AI指令、AI工具及智能体的使用频率，以及教学任务发布与课堂表现数据。总结需指出用户在课堂互动和传统教学方式中可能存在的利用不足，并支持自由检索查看往期周报，能够根据既往和当前周内数据提出优化教学的建议。</w:t>
      </w:r>
    </w:p>
    <w:p w14:paraId="7A18F1AE">
      <w:pPr>
        <w:numPr>
          <w:ilvl w:val="0"/>
          <w:numId w:val="14"/>
        </w:numPr>
        <w:ind w:left="0" w:firstLine="440" w:firstLineChars="200"/>
        <w:rPr>
          <w:rFonts w:hint="eastAsia" w:ascii="宋体" w:hAnsi="宋体" w:eastAsia="宋体" w:cs="宋体"/>
          <w:sz w:val="22"/>
          <w:szCs w:val="22"/>
        </w:rPr>
      </w:pPr>
      <w:r>
        <w:rPr>
          <w:rFonts w:ascii="宋体" w:hAnsi="宋体" w:eastAsia="宋体" w:cs="宋体"/>
          <w:sz w:val="22"/>
          <w:szCs w:val="22"/>
        </w:rPr>
        <w:t>支持AI一键生成知识点思政案例</w:t>
      </w:r>
      <w:r>
        <w:rPr>
          <w:rFonts w:hint="eastAsia" w:ascii="宋体" w:hAnsi="宋体" w:eastAsia="宋体" w:cs="宋体"/>
          <w:sz w:val="22"/>
          <w:szCs w:val="22"/>
        </w:rPr>
        <w:t>，可查看详情内容，包含案例序号、与知识点结合的案例名称、详细文本内容描述、思政元素的分点提炼与逐点论证说明，以及教学价值的分点分析。支持思政案例以word格式一键导出，可进行二次编辑。</w:t>
      </w:r>
      <w:r>
        <w:rPr>
          <w:rFonts w:ascii="宋体" w:hAnsi="宋体" w:eastAsia="宋体" w:cs="宋体"/>
          <w:sz w:val="22"/>
          <w:szCs w:val="22"/>
        </w:rPr>
        <w:t>支持查看一个月内AI生成思政案例的历史记录，包括思政点及内容预览。</w:t>
      </w:r>
    </w:p>
    <w:p w14:paraId="29FC950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出题，实现根据知识点及参考内容两种出题模式。在知识点出题模式下，支持教师选择课程知识点，系统参考知识点教学内容生成相关的题目，该出题模式支持普通模式、知识库模式两种模式；在参考内容出题模式下，支持自定义的文本描述或上传的参考资料，基于相关内容生成题目。两种出题模式皆支持单选题、多选题、判断题、填空题四种题型下的单一题型出题及混合式题型出题。出题不合适可一键切换模式生成全新题目。</w:t>
      </w:r>
    </w:p>
    <w:p w14:paraId="59EDE7E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所有题目或单个题目均支持重新生成和加入题库，点击加入题库时可对题干、答案、解析、类型、难度、相关知识点、标签进行编辑或设置，同时支持跳过此题、保存并退出、保存并添加下一题三种操作。支持题目均一键导出与二次编辑。</w:t>
      </w:r>
    </w:p>
    <w:p w14:paraId="16E6C29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批阅功能跳转至课程题库，通过手动新增、Word导入、Excel导入三种形式新增题目，支持进行试题的标签管理、题目去重、OCR识别、试题导出，导出试题支持以Excel形式下载保存在本地。同时支持通过题目ID、题目关键词、试题类型、试题标签、审批人、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如AI会对每一个采分点给出评语与对应分数，同时AI会基于当前答案给予建议分数，并给出合理理由，用户可根据需求对分数进行调整。</w:t>
      </w:r>
    </w:p>
    <w:p w14:paraId="2DC3F8B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支持根据输入内容整合并分析海量的科研数据，包括各大论文库中的研究成果，提取出关键的科学知识点，并根据其被引用频率、研究热度等指标进行权重排序。</w:t>
      </w:r>
    </w:p>
    <w:p w14:paraId="522A5B5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支持统计并分析特定主题或关键词下的论文数量，以及这些论文的来源、作者、机构等详细信息。AI还能够根据用户的兴趣和研究方向，智能推荐相关的电子书资源。</w:t>
      </w:r>
    </w:p>
    <w:p w14:paraId="3DFF6CBA">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创建PPT，可以通过勾选知识点、新增上传文件、生成教案进行一键PPT生成。知识点列表路径，可查询完整章节及知识点名称，并能够以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0AFAFE0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支持根据不同内容来源，AI梳理形成PPT构建大纲，分层级进行结构化的完整展示；支持以层级为单位进行拖拽，以及对各层级内容进行自由编辑，并实现编辑的即时自动保存。</w:t>
      </w:r>
    </w:p>
    <w:p w14:paraId="59F01FF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对AI生成PPT进行管理，对于整体不合适的进行一键删除，并配备二次确认防止误删，对于基本符合预期的内容可一键整体导出PPT格式实现二次编辑；支持同步留存历史生成记录，查看历史生成内容的名称、效果及更新时间。</w:t>
      </w:r>
    </w:p>
    <w:p w14:paraId="6C0652B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列表查询课程已建设知识模块，勾选单个或多个目标，结合课程性质和目标设定，选择理论概念、方法推导、案例解析、时政热点不同的问题偏好，一键生成场景问题集；支持查看历史生成记录，包括模块名称及内容预览。</w:t>
      </w:r>
    </w:p>
    <w:p w14:paraId="7AE53F48">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支持AI自动构建知识点教案，针对教学目标、教学重点难点、教学内容、教学方法、案例引入、扩展阅读、知识点测评等内容一键进行自动构建，每类信息自动构建不少于3条。</w:t>
      </w:r>
    </w:p>
    <w:p w14:paraId="1056C5B4">
      <w:pPr>
        <w:numPr>
          <w:ilvl w:val="0"/>
          <w:numId w:val="13"/>
        </w:numPr>
        <w:ind w:left="0" w:leftChars="0" w:firstLine="0" w:firstLineChars="0"/>
        <w:outlineLvl w:val="1"/>
        <w:rPr>
          <w:rFonts w:hint="eastAsia" w:ascii="宋体" w:hAnsi="宋体" w:eastAsia="宋体" w:cs="宋体"/>
          <w:b/>
          <w:bCs/>
          <w:sz w:val="22"/>
          <w:szCs w:val="22"/>
        </w:rPr>
      </w:pPr>
      <w:bookmarkStart w:id="156" w:name="_Toc6452"/>
      <w:bookmarkStart w:id="157" w:name="_Toc1012"/>
      <w:r>
        <w:rPr>
          <w:rFonts w:hint="eastAsia" w:ascii="宋体" w:hAnsi="宋体" w:eastAsia="宋体" w:cs="宋体"/>
          <w:b/>
          <w:bCs/>
          <w:sz w:val="22"/>
          <w:szCs w:val="22"/>
        </w:rPr>
        <w:t>学生学习及AI伴学功能</w:t>
      </w:r>
      <w:bookmarkEnd w:id="156"/>
      <w:bookmarkEnd w:id="157"/>
    </w:p>
    <w:p w14:paraId="0C4E792B">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学生可以观看全部的知识点内容学习，也可以根据个人意愿自主选择知识点内容学习，也能够根据老师设定的推荐学习路径进行学习。</w:t>
      </w:r>
    </w:p>
    <w:p w14:paraId="398B1454">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知识点练习：学生可针对每个知识点进行题目专项练习，并通过系统自动批阅换算出学生对于知识点掌握的情况，给予学生响应反馈。</w:t>
      </w:r>
    </w:p>
    <w:p w14:paraId="2797ACB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学生个人学习数据查看：学生可查看当前课程的学习进度以及已学内容的平均掌握度。</w:t>
      </w:r>
    </w:p>
    <w:p w14:paraId="00C9A5E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支持AI课程视频导览：支持AI对教学视频进行智能切片解析，自动生成分段视频</w:t>
      </w:r>
      <w:r>
        <w:rPr>
          <w:rFonts w:hint="eastAsia" w:ascii="宋体" w:hAnsi="宋体" w:eastAsia="宋体" w:cs="宋体"/>
          <w:sz w:val="22"/>
          <w:szCs w:val="22"/>
          <w:lang w:val="en-US" w:eastAsia="zh-CN"/>
        </w:rPr>
        <w:t>的</w:t>
      </w:r>
      <w:r>
        <w:rPr>
          <w:rFonts w:hint="eastAsia" w:ascii="宋体" w:hAnsi="宋体" w:eastAsia="宋体" w:cs="宋体"/>
          <w:sz w:val="22"/>
          <w:szCs w:val="22"/>
        </w:rPr>
        <w:t>摘要标题及内容简介，并标注分段的起始时长。</w:t>
      </w:r>
    </w:p>
    <w:p w14:paraId="52EF267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对学习视频内不理解的内容可直接进行举手提问操作，举手后系统自动截取当前视频页面，并自动发送给AI学伴进行提问，AI学伴会调取知识库内容进行答疑解释。支持学生选择语音播放回答内容、重新生成回答、复制回答、点赞、点踩等操作，AI学伴的声音、形象可设置为授课老师的数字人形象。</w:t>
      </w:r>
    </w:p>
    <w:p w14:paraId="3BA3E4B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AI学伴实时问答功能：AI学伴可根据学生提问内容，智能匹配最优相关答案并关联学习资源，通过AI学伴实时交互解答学生问题，实现智能互动教学。</w:t>
      </w:r>
    </w:p>
    <w:p w14:paraId="198965D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学生调用AI指令进行快速提问，可通过替换指令内的关键命令进行个性化需求的提问，平台提供不少于10个默认AI指令。</w:t>
      </w:r>
    </w:p>
    <w:p w14:paraId="4713E502">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支持跨校资源推荐的快捷操作，AI学伴完成讲解后自动推荐内外部高校的相关知识点教学资源，点击可直接跳转查看推荐资源。</w:t>
      </w:r>
    </w:p>
    <w:p w14:paraId="61454EA6">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支持视频解读的快捷操作，AI学伴自动提炼当前视频中的重要内容和关键信息，提供详细说明并推荐内外部高校学习资源，点击可直接跳转查看推荐资源。</w:t>
      </w:r>
    </w:p>
    <w:p w14:paraId="3AE716B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支持AI学伴提供陪练，支持根据学生学习进度及当前学习的知识内容进行出题，支持自定义难度、题型与题目数量，学生提交回答后系统需自动批改，提供正确答案及解析。</w:t>
      </w:r>
    </w:p>
    <w:p w14:paraId="4E6021BB">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知识点学习路径的快捷操作，AI基于知识库为学生提供当前知识点的学习路径，用可视化图谱形式呈现当前知识点前后关联支撑的知识点，支持点击跳转至知识点路径上任一知识点详情页，学生可查看知识点描述、资源、掌握度、关联的能力及达成度情况，可以直接去提升知识点掌握度。</w:t>
      </w:r>
    </w:p>
    <w:p w14:paraId="58FAF14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支持学生与智能体进行互动，每个智能体提供指导问题，学生觉得不合适的知识通过换一换切换问题。</w:t>
      </w:r>
    </w:p>
    <w:p w14:paraId="2E08062B">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支持通过语音输入与智能体进行对话，智能体回答问题</w:t>
      </w:r>
      <w:r>
        <w:rPr>
          <w:rFonts w:hint="eastAsia" w:ascii="宋体" w:hAnsi="宋体" w:eastAsia="宋体" w:cs="宋体"/>
          <w:sz w:val="22"/>
          <w:szCs w:val="22"/>
          <w:lang w:eastAsia="zh-CN"/>
        </w:rPr>
        <w:t>时</w:t>
      </w:r>
      <w:r>
        <w:rPr>
          <w:rFonts w:hint="eastAsia" w:ascii="宋体" w:hAnsi="宋体" w:eastAsia="宋体" w:cs="宋体"/>
          <w:sz w:val="22"/>
          <w:szCs w:val="22"/>
        </w:rPr>
        <w:t>自动查询关联知识点及关联问题图谱，并优先展示，支持点击跳转至对应知识点及问题详情页，支持语音播放智能体回答的内容，支持复制回答、对回复内容点赞、点踩等操作。</w:t>
      </w:r>
    </w:p>
    <w:p w14:paraId="04E1686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支持查看历史会话，历史对话按时间排布，点击后回到历史对话页面，支持继续进行对话提问。</w:t>
      </w:r>
    </w:p>
    <w:p w14:paraId="194E0101">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在AI互动室基于不同的话题进行互动，支持灵活切换互动话题进行回答讨论，支持通过语音输入进行互动。支持在没有思路的情况下，指定一位AI伙伴来回复或者让他们随机回复，AI伙伴支持不同的性格角色，支持对每个角色提供性格特质说明，支持为AI伙伴进行点赞和点踩动作，支持显示每个AI伙伴的受欢迎情况。</w:t>
      </w:r>
    </w:p>
    <w:p w14:paraId="2AAFE68E">
      <w:pPr>
        <w:numPr>
          <w:ilvl w:val="0"/>
          <w:numId w:val="13"/>
        </w:numPr>
        <w:ind w:left="0" w:leftChars="0" w:firstLine="0" w:firstLineChars="0"/>
        <w:outlineLvl w:val="1"/>
        <w:rPr>
          <w:rFonts w:hint="eastAsia" w:ascii="宋体" w:hAnsi="宋体" w:eastAsia="宋体" w:cs="宋体"/>
          <w:b/>
          <w:bCs/>
          <w:sz w:val="22"/>
          <w:szCs w:val="22"/>
        </w:rPr>
      </w:pPr>
      <w:bookmarkStart w:id="158" w:name="_Toc24960"/>
      <w:bookmarkStart w:id="159" w:name="_Toc12829"/>
      <w:r>
        <w:rPr>
          <w:rFonts w:hint="eastAsia" w:ascii="宋体" w:hAnsi="宋体" w:eastAsia="宋体" w:cs="宋体"/>
          <w:b/>
          <w:bCs/>
          <w:sz w:val="22"/>
          <w:szCs w:val="22"/>
        </w:rPr>
        <w:t>课程上线及运维服务</w:t>
      </w:r>
      <w:bookmarkEnd w:id="158"/>
      <w:bookmarkEnd w:id="159"/>
    </w:p>
    <w:p w14:paraId="7451EF00">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课程制作完成后，根据采购人课程建设运行需要，可上传内容到供应商所提供的课程运行平台。教师可在平台上运行在线课程，用于校内翻转课堂应用及校外课程推广，供高校学生和社会人员选修学习。</w:t>
      </w:r>
    </w:p>
    <w:p w14:paraId="064ACEC9">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平台以混合式课程教学为基础，提供可用于教师课程建设和运行的富媒体资源库。教师可以直接引用或调取其他优质共享的视频课、虚拟仿真实验课。</w:t>
      </w:r>
    </w:p>
    <w:p w14:paraId="7EEBAB30">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平台运行安全稳定畅通，课程在线教学支持服务高效。课程平台按照《中国互联网管理条例》等规定，完成有关的备案和审批手续，至少获得国家信息安全等级保护三级认证，并完全符合混合式课程建设标准，支持线上线下混合式课程有效运行。须制定相应的管理制度和工作流程，配有专业人员进行审查管理，确保上线课程的内容规范及技术水平。</w:t>
      </w:r>
    </w:p>
    <w:p w14:paraId="32135D2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提供移动客户端，支持iOS和Android操作系统，用于手机、Pad等智能移动</w:t>
      </w:r>
      <w:r>
        <w:rPr>
          <w:rFonts w:hint="eastAsia" w:ascii="宋体" w:hAnsi="宋体" w:eastAsia="宋体" w:cs="宋体"/>
          <w:sz w:val="22"/>
          <w:szCs w:val="22"/>
          <w:lang w:eastAsia="zh-CN"/>
        </w:rPr>
        <w:t>终端</w:t>
      </w:r>
      <w:r>
        <w:rPr>
          <w:rFonts w:hint="eastAsia" w:ascii="宋体" w:hAnsi="宋体" w:eastAsia="宋体" w:cs="宋体"/>
          <w:sz w:val="22"/>
          <w:szCs w:val="22"/>
        </w:rPr>
        <w:t>，实现在线移动学习。与网络教学平台数据同步，进行在线课程的学习、通知、作业、考试、讨论、小组、成绩分析、学生管理，支持PPT上课、同步课堂、签到、抢答、问卷、讨论、点名、资料、直播功能。</w:t>
      </w:r>
    </w:p>
    <w:p w14:paraId="2BE97FCE">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支持AI自动督促：可根据每位学生的学习进度、作业提交情况、考试时间等，实现个性化学习提醒与督促，并提供成绩发布提醒、学生补考自动提醒。</w:t>
      </w:r>
    </w:p>
    <w:p w14:paraId="37D8C51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检测学生诚信学习情况：可进行异地登录检测、异常设备登录检测、异常时间段检测、异常学习过程检测、异常考试过程检测等行为，若学生在学习过程中有异常行为，AI会自动通知学生诚信学习，管理教师可根据实际情况自行决定如何处理。</w:t>
      </w:r>
    </w:p>
    <w:p w14:paraId="120F1473">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AI周报生成：可定期向教师端推送AI学习周报，支持教师通过PC端和移动端查看周报内容，包含课程选课数据统计、学生整体学习情况概览；教师可查看学习行为数据及分析，包括AI智能问答数据统计、学生提问内容分析、师生互动数据汇总、视频反复观看情况检测、学生反馈记录查看；教师可查看AI陪练数据、学生成绩分析、满意度统计与深度分析。</w:t>
      </w:r>
    </w:p>
    <w:p w14:paraId="67903F9D">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学生课程学习行为及资源AI智能分析：平台可基于学生提问数据，智能分析并总结学生问题集中的核心方向；能够检测学生反复观看的视频内容，提示哪些内容知识点可能是学生的兴趣点或理解难点；AI可对推荐资源进行分类统计，显示学生的资源偏好类别，以及资源的学习热度情况。</w:t>
      </w:r>
    </w:p>
    <w:p w14:paraId="23E560F3">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支持考试安全预防（封卷）：访问题库须通过本人微信扫码验证，确保试题访问安全可控。支持考试封存后，任何人员、任何路径均无法直接查看试卷内容，从源头杜绝试题</w:t>
      </w:r>
      <w:r>
        <w:rPr>
          <w:rFonts w:hint="eastAsia" w:ascii="宋体" w:hAnsi="宋体" w:eastAsia="宋体" w:cs="宋体"/>
          <w:sz w:val="22"/>
          <w:szCs w:val="22"/>
          <w:lang w:eastAsia="zh-CN"/>
        </w:rPr>
        <w:t>泄露</w:t>
      </w:r>
      <w:r>
        <w:rPr>
          <w:rFonts w:hint="eastAsia" w:ascii="宋体" w:hAnsi="宋体" w:eastAsia="宋体" w:cs="宋体"/>
          <w:sz w:val="22"/>
          <w:szCs w:val="22"/>
        </w:rPr>
        <w:t>。同时支持考试结束后，按班级选择发放试卷及答案。</w:t>
      </w:r>
    </w:p>
    <w:p w14:paraId="31C507D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支持一键推课：教师可以通过APP或小程序一键生成并分享课程海报、手机端H5课程主页、课程小程序页面，实现课程快速推广，扩大学习覆盖面。</w:t>
      </w:r>
    </w:p>
    <w:p w14:paraId="6ECBB553">
      <w:pPr>
        <w:numPr>
          <w:ilvl w:val="0"/>
          <w:numId w:val="14"/>
        </w:numPr>
        <w:ind w:left="0" w:firstLine="440" w:firstLineChars="200"/>
        <w:rPr>
          <w:rFonts w:hint="eastAsia" w:ascii="宋体" w:hAnsi="宋体" w:eastAsia="宋体" w:cs="宋体"/>
          <w:sz w:val="22"/>
          <w:szCs w:val="22"/>
        </w:rPr>
      </w:pPr>
      <w:r>
        <w:rPr>
          <w:rFonts w:ascii="宋体" w:hAnsi="宋体" w:eastAsia="宋体" w:cs="宋体"/>
          <w:sz w:val="22"/>
          <w:szCs w:val="22"/>
        </w:rPr>
        <w:t>为保障采购人建设</w:t>
      </w:r>
      <w:r>
        <w:rPr>
          <w:rFonts w:hint="eastAsia" w:ascii="宋体" w:hAnsi="宋体" w:eastAsia="宋体" w:cs="宋体"/>
          <w:sz w:val="22"/>
          <w:szCs w:val="22"/>
        </w:rPr>
        <w:t>课程</w:t>
      </w:r>
      <w:r>
        <w:rPr>
          <w:rFonts w:ascii="宋体" w:hAnsi="宋体" w:eastAsia="宋体" w:cs="宋体"/>
          <w:sz w:val="22"/>
          <w:szCs w:val="22"/>
        </w:rPr>
        <w:t>符合省级、国家级课程申报条件，提升课程建设运行与推广水平，供应商提供的课程上线平台能够至少接入5个高校课程共享联盟，实现跨联盟、跨校优质课程资源互通共享，支持课程在联盟体系内的广泛传播与学分互认。</w:t>
      </w:r>
    </w:p>
    <w:p w14:paraId="17F81DA7">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采购人开展省级、国家级课程项目申报工作时，供应商需提供平台技术支撑，及时导出课程建设、运行相关各类数据，协助教师填写申报数据，指导课程团队掌握申报书填写要点及注意事项，全力支持课程顺利完成申报工作。</w:t>
      </w:r>
      <w:r>
        <w:rPr>
          <w:rFonts w:hint="eastAsia" w:ascii="宋体" w:hAnsi="宋体" w:eastAsia="宋体" w:cs="宋体"/>
          <w:b/>
          <w:bCs/>
          <w:sz w:val="22"/>
          <w:szCs w:val="22"/>
        </w:rPr>
        <w:t>（提供承诺函并加盖供应商公章）</w:t>
      </w:r>
    </w:p>
    <w:p w14:paraId="249643BF">
      <w:pPr>
        <w:numPr>
          <w:ilvl w:val="0"/>
          <w:numId w:val="14"/>
        </w:numPr>
        <w:ind w:left="0" w:firstLine="440" w:firstLineChars="200"/>
        <w:rPr>
          <w:rFonts w:hint="eastAsia" w:ascii="宋体" w:hAnsi="宋体" w:eastAsia="宋体" w:cs="宋体"/>
          <w:sz w:val="22"/>
          <w:szCs w:val="22"/>
        </w:rPr>
      </w:pPr>
      <w:r>
        <w:rPr>
          <w:rFonts w:hint="eastAsia" w:ascii="宋体" w:hAnsi="宋体" w:eastAsia="宋体" w:cs="宋体"/>
          <w:sz w:val="22"/>
          <w:szCs w:val="22"/>
        </w:rPr>
        <w:t>供应商需配备专业运行团队，为课程运行提供全方位保障，可面向授课教师提供电脑端、手机端课程应用培训，</w:t>
      </w:r>
      <w:r>
        <w:rPr>
          <w:rFonts w:ascii="宋体" w:hAnsi="宋体" w:eastAsia="宋体" w:cs="宋体"/>
          <w:sz w:val="22"/>
          <w:szCs w:val="22"/>
        </w:rPr>
        <w:t>运行团队提供7×24小时服务热线及在线支持，紧急问题（如平台崩溃）需在1小时内响应，24小时内解决</w:t>
      </w:r>
      <w:r>
        <w:rPr>
          <w:rFonts w:hint="eastAsia" w:ascii="宋体" w:hAnsi="宋体" w:eastAsia="宋体" w:cs="宋体"/>
          <w:sz w:val="22"/>
          <w:szCs w:val="22"/>
        </w:rPr>
        <w:t>，</w:t>
      </w:r>
      <w:r>
        <w:rPr>
          <w:rFonts w:ascii="宋体" w:hAnsi="宋体" w:eastAsia="宋体" w:cs="宋体"/>
          <w:sz w:val="22"/>
          <w:szCs w:val="22"/>
        </w:rPr>
        <w:t>常规问题（如功能咨询）需在4小时内响应，1个工作日内解决。</w:t>
      </w:r>
    </w:p>
    <w:p w14:paraId="541B1E21">
      <w:pPr>
        <w:jc w:val="center"/>
        <w:outlineLvl w:val="9"/>
        <w:rPr>
          <w:rFonts w:hint="eastAsia" w:ascii="宋体" w:hAnsi="宋体" w:eastAsia="宋体" w:cs="宋体"/>
          <w:b/>
          <w:bCs/>
          <w:sz w:val="22"/>
          <w:szCs w:val="22"/>
          <w:lang w:val="en-US" w:eastAsia="zh-CN"/>
        </w:rPr>
      </w:pPr>
      <w:bookmarkStart w:id="160" w:name="_Toc26470"/>
      <w:bookmarkStart w:id="161" w:name="_Toc5379"/>
      <w:bookmarkStart w:id="164" w:name="_GoBack"/>
    </w:p>
    <w:bookmarkEnd w:id="164"/>
    <w:p w14:paraId="1EAF3454">
      <w:pPr>
        <w:jc w:val="center"/>
        <w:outlineLvl w:val="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第四部分 项目评审综合评分表（满分100分）</w:t>
      </w:r>
      <w:bookmarkEnd w:id="160"/>
      <w:bookmarkEnd w:id="161"/>
    </w:p>
    <w:tbl>
      <w:tblPr>
        <w:tblStyle w:val="10"/>
        <w:tblW w:w="4601" w:type="pct"/>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1364"/>
        <w:gridCol w:w="3875"/>
        <w:gridCol w:w="2603"/>
      </w:tblGrid>
      <w:tr w14:paraId="37579AF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4D519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序号</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F041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评审项目</w:t>
            </w:r>
          </w:p>
        </w:tc>
        <w:tc>
          <w:tcPr>
            <w:tcW w:w="165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44EB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标准分</w:t>
            </w:r>
          </w:p>
        </w:tc>
      </w:tr>
      <w:tr w14:paraId="260D92A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110E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1</w:t>
            </w:r>
          </w:p>
        </w:tc>
        <w:tc>
          <w:tcPr>
            <w:tcW w:w="2470"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111F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报价</w:t>
            </w:r>
          </w:p>
        </w:tc>
        <w:tc>
          <w:tcPr>
            <w:tcW w:w="1659"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B782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10分</w:t>
            </w:r>
          </w:p>
        </w:tc>
      </w:tr>
      <w:tr w14:paraId="3C6D0FB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F76B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2</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DAE2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参数响应情况</w:t>
            </w:r>
          </w:p>
        </w:tc>
        <w:tc>
          <w:tcPr>
            <w:tcW w:w="1659"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573E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49分</w:t>
            </w:r>
          </w:p>
        </w:tc>
      </w:tr>
      <w:tr w14:paraId="470CBDC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DDFD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192B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项目实施</w:t>
            </w:r>
          </w:p>
        </w:tc>
        <w:tc>
          <w:tcPr>
            <w:tcW w:w="1659"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92AB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12分</w:t>
            </w:r>
          </w:p>
        </w:tc>
      </w:tr>
      <w:tr w14:paraId="66492A2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FB35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848A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售后服务</w:t>
            </w:r>
          </w:p>
        </w:tc>
        <w:tc>
          <w:tcPr>
            <w:tcW w:w="1659"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7DC9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8分</w:t>
            </w:r>
          </w:p>
        </w:tc>
      </w:tr>
      <w:tr w14:paraId="14B5F77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A1E5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38E8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运行推广</w:t>
            </w:r>
          </w:p>
        </w:tc>
        <w:tc>
          <w:tcPr>
            <w:tcW w:w="1659"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7531D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18分</w:t>
            </w:r>
          </w:p>
        </w:tc>
      </w:tr>
      <w:tr w14:paraId="5EA8B1E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7" w:hRule="atLeast"/>
          <w:jc w:val="center"/>
        </w:trPr>
        <w:tc>
          <w:tcPr>
            <w:tcW w:w="870" w:type="pct"/>
            <w:tcBorders>
              <w:top w:val="single" w:color="000000"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EAC6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6</w:t>
            </w:r>
          </w:p>
        </w:tc>
        <w:tc>
          <w:tcPr>
            <w:tcW w:w="247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AAB0A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sz w:val="22"/>
                <w:szCs w:val="22"/>
              </w:rPr>
              <w:t>类似项目业绩</w:t>
            </w:r>
          </w:p>
        </w:tc>
        <w:tc>
          <w:tcPr>
            <w:tcW w:w="1659" w:type="pct"/>
            <w:tcBorders>
              <w:top w:val="single" w:color="CBCDD1" w:sz="0"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2C50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2"/>
                <w:szCs w:val="22"/>
              </w:rPr>
            </w:pPr>
            <w:r>
              <w:rPr>
                <w:rFonts w:hint="eastAsia" w:ascii="宋体" w:hAnsi="宋体" w:eastAsia="宋体" w:cs="宋体"/>
                <w:color w:val="000000"/>
                <w:sz w:val="22"/>
                <w:szCs w:val="22"/>
              </w:rPr>
              <w:t>3分</w:t>
            </w:r>
          </w:p>
        </w:tc>
      </w:tr>
    </w:tbl>
    <w:p w14:paraId="2EFAB7F8">
      <w:pPr>
        <w:rPr>
          <w:rFonts w:hint="eastAsia" w:ascii="宋体" w:hAnsi="宋体" w:eastAsia="宋体" w:cs="宋体"/>
          <w:b/>
          <w:bCs/>
          <w:sz w:val="22"/>
          <w:szCs w:val="22"/>
        </w:rPr>
      </w:pPr>
    </w:p>
    <w:p w14:paraId="53AF80F5">
      <w:pPr>
        <w:jc w:val="center"/>
        <w:outlineLvl w:val="0"/>
        <w:rPr>
          <w:rFonts w:hint="eastAsia" w:ascii="宋体" w:hAnsi="宋体" w:eastAsia="宋体" w:cs="宋体"/>
          <w:b/>
          <w:bCs/>
          <w:sz w:val="22"/>
          <w:szCs w:val="22"/>
        </w:rPr>
      </w:pPr>
      <w:r>
        <w:rPr>
          <w:rFonts w:hint="eastAsia" w:ascii="宋体" w:hAnsi="宋体" w:eastAsia="宋体" w:cs="宋体"/>
          <w:b/>
          <w:bCs/>
          <w:sz w:val="22"/>
          <w:szCs w:val="22"/>
          <w:lang w:val="en-US" w:eastAsia="zh-CN"/>
        </w:rPr>
        <w:t>第五部分 ★主要商务要求</w:t>
      </w:r>
    </w:p>
    <w:tbl>
      <w:tblPr>
        <w:tblStyle w:val="10"/>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7150"/>
      </w:tblGrid>
      <w:tr w14:paraId="6B17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vAlign w:val="center"/>
          </w:tcPr>
          <w:p w14:paraId="2C70D7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服务期限</w:t>
            </w:r>
          </w:p>
        </w:tc>
        <w:tc>
          <w:tcPr>
            <w:tcW w:w="7150" w:type="dxa"/>
            <w:vAlign w:val="center"/>
          </w:tcPr>
          <w:p w14:paraId="7F54965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服务期为合同签订后</w:t>
            </w:r>
            <w:r>
              <w:rPr>
                <w:rFonts w:hint="eastAsia" w:ascii="宋体" w:hAnsi="宋体" w:eastAsia="宋体" w:cs="宋体"/>
                <w:sz w:val="22"/>
                <w:szCs w:val="22"/>
                <w:lang w:val="en-US" w:eastAsia="zh-CN"/>
              </w:rPr>
              <w:t>365</w:t>
            </w:r>
            <w:r>
              <w:rPr>
                <w:rFonts w:hint="eastAsia" w:ascii="宋体" w:hAnsi="宋体" w:eastAsia="宋体" w:cs="宋体"/>
                <w:sz w:val="22"/>
                <w:szCs w:val="22"/>
              </w:rPr>
              <w:t>个日历日内</w:t>
            </w:r>
          </w:p>
        </w:tc>
      </w:tr>
      <w:tr w14:paraId="45A8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vAlign w:val="center"/>
          </w:tcPr>
          <w:p w14:paraId="014D95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服务地点</w:t>
            </w:r>
          </w:p>
        </w:tc>
        <w:tc>
          <w:tcPr>
            <w:tcW w:w="7150" w:type="dxa"/>
            <w:vAlign w:val="center"/>
          </w:tcPr>
          <w:p w14:paraId="186DC19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西华大学指定地点</w:t>
            </w:r>
          </w:p>
        </w:tc>
      </w:tr>
      <w:tr w14:paraId="375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vAlign w:val="center"/>
          </w:tcPr>
          <w:p w14:paraId="74E0CA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支付方式</w:t>
            </w:r>
          </w:p>
        </w:tc>
        <w:tc>
          <w:tcPr>
            <w:tcW w:w="7150" w:type="dxa"/>
            <w:vAlign w:val="center"/>
          </w:tcPr>
          <w:p w14:paraId="6EC5DA8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分期付款</w:t>
            </w:r>
          </w:p>
        </w:tc>
      </w:tr>
      <w:tr w14:paraId="23A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14:paraId="72017C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付款进度安排</w:t>
            </w:r>
          </w:p>
        </w:tc>
        <w:tc>
          <w:tcPr>
            <w:tcW w:w="7150" w:type="dxa"/>
          </w:tcPr>
          <w:p w14:paraId="3E1526B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第一次付款：合同签订生效后，达到付款条件起10日内，支付合同总金额的20%。</w:t>
            </w:r>
          </w:p>
          <w:p w14:paraId="4C7AF22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第二次付款：履约验收完成后，达到付款条件起10日内，支付合同总金额的80%。</w:t>
            </w:r>
          </w:p>
        </w:tc>
      </w:tr>
      <w:tr w14:paraId="79A0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14:paraId="16396D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验收要求</w:t>
            </w:r>
          </w:p>
        </w:tc>
        <w:tc>
          <w:tcPr>
            <w:tcW w:w="7150" w:type="dxa"/>
          </w:tcPr>
          <w:p w14:paraId="341BD4B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1.验收地点及时间：由采购人指定。</w:t>
            </w:r>
          </w:p>
          <w:p w14:paraId="2ABD436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2.验收交付标准和方法</w:t>
            </w:r>
          </w:p>
          <w:p w14:paraId="39CECF9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 xml:space="preserve">（1）按照《财政部关于进一步加强政府采购需求和履约验收管理的指导意见》（财库〔2016〕205号）、《政府采购需求管理办法》（财库〔2021〕22号）等有关要求进行验收。验收内容中的技术和商务要求的履约情况，以招标投标文件及合同约定中的技术要求和商务要求为标准。 </w:t>
            </w:r>
          </w:p>
          <w:p w14:paraId="4DFE5DD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2）验收时，双方必须同时在场，供应商所提供的产品不符合合同内容规定的，采购人有权拒绝验收。供应商应及时按合同内容规定和采购人要求免费进行整改，直至验收合格，方视为供应商按本合同规定完成服务。验收合格的，由双方共同签署《验收报告》。</w:t>
            </w:r>
          </w:p>
          <w:p w14:paraId="3262213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2"/>
                <w:szCs w:val="22"/>
              </w:rPr>
            </w:pPr>
            <w:r>
              <w:rPr>
                <w:rFonts w:hint="eastAsia" w:ascii="宋体" w:hAnsi="宋体" w:eastAsia="宋体" w:cs="宋体"/>
                <w:sz w:val="22"/>
                <w:szCs w:val="22"/>
              </w:rPr>
              <w:t>（3）采购人的验收合格并不免除供应商因服务质量问题造成采购人一切损失（包括但不限于直接损失、采购人的诉讼费、律师费、鉴定费、保全费、执行费等全部维权费用）的赔偿责任。</w:t>
            </w:r>
          </w:p>
        </w:tc>
      </w:tr>
      <w:tr w14:paraId="03C0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212" w:type="dxa"/>
            <w:vAlign w:val="center"/>
          </w:tcPr>
          <w:p w14:paraId="29C0EB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其他</w:t>
            </w:r>
          </w:p>
        </w:tc>
        <w:tc>
          <w:tcPr>
            <w:tcW w:w="7150" w:type="dxa"/>
          </w:tcPr>
          <w:p w14:paraId="60DA0430">
            <w:pPr>
              <w:numPr>
                <w:ilvl w:val="0"/>
                <w:numId w:val="0"/>
              </w:numPr>
              <w:rPr>
                <w:rFonts w:hint="eastAsia" w:ascii="宋体" w:hAnsi="宋体" w:eastAsia="宋体" w:cs="宋体"/>
                <w:sz w:val="22"/>
                <w:szCs w:val="22"/>
              </w:rPr>
            </w:pPr>
            <w:r>
              <w:rPr>
                <w:rFonts w:hint="eastAsia" w:ascii="宋体" w:hAnsi="宋体" w:eastAsia="宋体" w:cs="宋体"/>
                <w:sz w:val="22"/>
                <w:szCs w:val="22"/>
              </w:rPr>
              <w:t>售后服务：服务期结束之日起1年的全免费质保服务。质保期内，供应商需配备专业运行团队，为课程运行提供全方位保障，可面向授课教师提供电脑端、手机端应用培训，</w:t>
            </w:r>
            <w:r>
              <w:rPr>
                <w:rFonts w:ascii="宋体" w:hAnsi="宋体" w:eastAsia="宋体" w:cs="宋体"/>
                <w:sz w:val="22"/>
                <w:szCs w:val="22"/>
              </w:rPr>
              <w:t>运行团队提供7×24小时服务热线及在线支持，紧急问题（如平台崩溃）需在1小时内响应，24小时内解决</w:t>
            </w:r>
            <w:r>
              <w:rPr>
                <w:rFonts w:hint="eastAsia" w:ascii="宋体" w:hAnsi="宋体" w:eastAsia="宋体" w:cs="宋体"/>
                <w:sz w:val="22"/>
                <w:szCs w:val="22"/>
              </w:rPr>
              <w:t>，</w:t>
            </w:r>
            <w:r>
              <w:rPr>
                <w:rFonts w:ascii="宋体" w:hAnsi="宋体" w:eastAsia="宋体" w:cs="宋体"/>
                <w:sz w:val="22"/>
                <w:szCs w:val="22"/>
              </w:rPr>
              <w:t>常规问题（如功能咨询）需在4小时内响应，1个工作日内解决。</w:t>
            </w:r>
          </w:p>
        </w:tc>
      </w:tr>
    </w:tbl>
    <w:p w14:paraId="1E15A1B9">
      <w:pPr>
        <w:jc w:val="center"/>
        <w:outlineLvl w:val="9"/>
        <w:rPr>
          <w:rFonts w:hint="eastAsia" w:ascii="宋体" w:hAnsi="宋体" w:eastAsia="宋体" w:cs="宋体"/>
          <w:b/>
          <w:bCs/>
          <w:sz w:val="22"/>
          <w:szCs w:val="22"/>
          <w:lang w:val="en-US" w:eastAsia="zh-CN"/>
        </w:rPr>
      </w:pPr>
    </w:p>
    <w:p w14:paraId="2EFCB2D3">
      <w:pPr>
        <w:jc w:val="center"/>
        <w:outlineLvl w:val="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第六部分 ★其他要求</w:t>
      </w:r>
    </w:p>
    <w:p w14:paraId="3ED29DDF">
      <w:pPr>
        <w:pStyle w:val="15"/>
        <w:keepNext w:val="0"/>
        <w:keepLines w:val="0"/>
        <w:pageBreakBefore w:val="0"/>
        <w:widowControl w:val="0"/>
        <w:numPr>
          <w:ilvl w:val="0"/>
          <w:numId w:val="18"/>
        </w:numPr>
        <w:kinsoku/>
        <w:wordWrap/>
        <w:overflowPunct/>
        <w:topLinePunct w:val="0"/>
        <w:autoSpaceDE/>
        <w:autoSpaceDN/>
        <w:bidi w:val="0"/>
        <w:adjustRightInd/>
        <w:snapToGrid/>
        <w:spacing w:line="288" w:lineRule="auto"/>
        <w:ind w:left="0" w:firstLine="420"/>
        <w:jc w:val="left"/>
        <w:textAlignment w:val="auto"/>
        <w:rPr>
          <w:rFonts w:hint="eastAsia" w:asciiTheme="minorEastAsia" w:hAnsiTheme="minorEastAsia" w:eastAsiaTheme="minorEastAsia" w:cstheme="minorEastAsia"/>
          <w:b w:val="0"/>
          <w:bCs w:val="0"/>
          <w:sz w:val="22"/>
          <w:szCs w:val="28"/>
        </w:rPr>
      </w:pPr>
      <w:r>
        <w:rPr>
          <w:rFonts w:hint="eastAsia" w:asciiTheme="minorEastAsia" w:hAnsiTheme="minorEastAsia" w:eastAsiaTheme="minorEastAsia" w:cstheme="minorEastAsia"/>
          <w:b w:val="0"/>
          <w:bCs w:val="0"/>
          <w:sz w:val="22"/>
          <w:szCs w:val="22"/>
        </w:rPr>
        <w:t>供应商须保证采购人在接受其提供的相关软件和服务时免受第三方提出侵犯其知识产权的起诉，由此引起的知识产权纠纷由供应商负责。</w:t>
      </w:r>
    </w:p>
    <w:p w14:paraId="43FB8336">
      <w:pPr>
        <w:pStyle w:val="15"/>
        <w:keepNext w:val="0"/>
        <w:keepLines w:val="0"/>
        <w:pageBreakBefore w:val="0"/>
        <w:widowControl w:val="0"/>
        <w:numPr>
          <w:ilvl w:val="0"/>
          <w:numId w:val="18"/>
        </w:numPr>
        <w:kinsoku/>
        <w:wordWrap/>
        <w:overflowPunct/>
        <w:topLinePunct w:val="0"/>
        <w:autoSpaceDE/>
        <w:autoSpaceDN/>
        <w:bidi w:val="0"/>
        <w:adjustRightInd/>
        <w:snapToGrid/>
        <w:spacing w:line="288" w:lineRule="auto"/>
        <w:ind w:left="0" w:firstLine="420"/>
        <w:jc w:val="left"/>
        <w:textAlignment w:val="auto"/>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供应商在成片制作过程中，须严格把控所使用图片、音视频等各类素材的版权合规性。若因素材版权问题引发任何纠纷，所有的法律责任和经济赔偿均由供应商承担。</w:t>
      </w:r>
    </w:p>
    <w:p w14:paraId="22E595F2">
      <w:pPr>
        <w:pStyle w:val="15"/>
        <w:keepNext w:val="0"/>
        <w:keepLines w:val="0"/>
        <w:pageBreakBefore w:val="0"/>
        <w:widowControl w:val="0"/>
        <w:numPr>
          <w:ilvl w:val="0"/>
          <w:numId w:val="18"/>
        </w:numPr>
        <w:kinsoku/>
        <w:wordWrap/>
        <w:overflowPunct/>
        <w:topLinePunct w:val="0"/>
        <w:autoSpaceDE/>
        <w:autoSpaceDN/>
        <w:bidi w:val="0"/>
        <w:adjustRightInd/>
        <w:snapToGrid/>
        <w:spacing w:line="288" w:lineRule="auto"/>
        <w:ind w:left="0" w:firstLine="420"/>
        <w:jc w:val="left"/>
        <w:textAlignment w:val="auto"/>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供应商须对课程负责人的肖像权、隐私权等合法权益，采取合理、有效的技术保护措施；若出现相关侵权纠纷，所有法律责任和经济赔偿均由供应商承担。</w:t>
      </w:r>
    </w:p>
    <w:p w14:paraId="5CB62AE5">
      <w:pPr>
        <w:pStyle w:val="15"/>
        <w:keepNext w:val="0"/>
        <w:keepLines w:val="0"/>
        <w:pageBreakBefore w:val="0"/>
        <w:widowControl w:val="0"/>
        <w:numPr>
          <w:ilvl w:val="0"/>
          <w:numId w:val="18"/>
        </w:numPr>
        <w:kinsoku/>
        <w:wordWrap/>
        <w:overflowPunct/>
        <w:topLinePunct w:val="0"/>
        <w:autoSpaceDE/>
        <w:autoSpaceDN/>
        <w:bidi w:val="0"/>
        <w:adjustRightInd/>
        <w:snapToGrid/>
        <w:spacing w:line="288" w:lineRule="auto"/>
        <w:ind w:left="0" w:firstLine="420"/>
        <w:jc w:val="left"/>
        <w:textAlignment w:val="auto"/>
        <w:rPr>
          <w:rFonts w:hint="eastAsia" w:asciiTheme="minorEastAsia" w:hAnsiTheme="minorEastAsia" w:eastAsiaTheme="minorEastAsia" w:cstheme="minorEastAsia"/>
          <w:b w:val="0"/>
          <w:bCs w:val="0"/>
          <w:sz w:val="22"/>
          <w:szCs w:val="22"/>
        </w:rPr>
      </w:pPr>
      <w:bookmarkStart w:id="162" w:name="OLE_LINK7"/>
      <w:bookmarkStart w:id="163" w:name="OLE_LINK8"/>
      <w:r>
        <w:rPr>
          <w:rFonts w:hint="eastAsia" w:asciiTheme="minorEastAsia" w:hAnsiTheme="minorEastAsia" w:eastAsiaTheme="minorEastAsia" w:cstheme="minorEastAsia"/>
          <w:b w:val="0"/>
          <w:bCs w:val="0"/>
          <w:sz w:val="22"/>
          <w:szCs w:val="22"/>
        </w:rPr>
        <w:t>所有制作完成的课程成品，其知识产权归采购人所有。未经采购人书面许可，任何单位或个人不得将课程成品用于商业传播</w:t>
      </w:r>
      <w:bookmarkEnd w:id="162"/>
      <w:bookmarkEnd w:id="163"/>
      <w:r>
        <w:rPr>
          <w:rFonts w:hint="eastAsia" w:asciiTheme="minorEastAsia" w:hAnsiTheme="minorEastAsia" w:eastAsiaTheme="minorEastAsia" w:cstheme="minorEastAsia"/>
          <w:b w:val="0"/>
          <w:bCs w:val="0"/>
          <w:sz w:val="22"/>
          <w:szCs w:val="22"/>
        </w:rPr>
        <w:t>，不得对课程教师形象及其视频内容进行二次加工、使用和传播。所有使用的相关资料须明确标注出处，并在视频片尾进行规范声明。</w:t>
      </w:r>
    </w:p>
    <w:p w14:paraId="14CA1EC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1" w:fontKey="{6AE16165-BEB2-4EF4-93A7-1695CC46384B}"/>
  </w:font>
  <w:font w:name="仿宋">
    <w:panose1 w:val="02010609060101010101"/>
    <w:charset w:val="86"/>
    <w:family w:val="modern"/>
    <w:pitch w:val="default"/>
    <w:sig w:usb0="800002BF" w:usb1="38CF7CFA" w:usb2="00000016" w:usb3="00000000" w:csb0="00040001" w:csb1="00000000"/>
    <w:embedRegular r:id="rId2" w:fontKey="{A37CB638-B7BF-4167-9B3B-B98A073F90E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AE0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448D2">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9448D2">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7D69B"/>
    <w:multiLevelType w:val="singleLevel"/>
    <w:tmpl w:val="8347D69B"/>
    <w:lvl w:ilvl="0" w:tentative="0">
      <w:start w:val="1"/>
      <w:numFmt w:val="decimal"/>
      <w:suff w:val="nothing"/>
      <w:lvlText w:val="%1."/>
      <w:lvlJc w:val="left"/>
      <w:pPr>
        <w:ind w:left="425" w:hanging="425"/>
      </w:pPr>
      <w:rPr>
        <w:rFonts w:hint="default"/>
        <w:b w:val="0"/>
        <w:bCs w:val="0"/>
        <w:color w:val="auto"/>
      </w:rPr>
    </w:lvl>
  </w:abstractNum>
  <w:abstractNum w:abstractNumId="1">
    <w:nsid w:val="8CC0FBB5"/>
    <w:multiLevelType w:val="singleLevel"/>
    <w:tmpl w:val="8CC0FBB5"/>
    <w:lvl w:ilvl="0" w:tentative="0">
      <w:start w:val="1"/>
      <w:numFmt w:val="chineseCounting"/>
      <w:suff w:val="nothing"/>
      <w:lvlText w:val="%1、"/>
      <w:lvlJc w:val="left"/>
      <w:pPr>
        <w:ind w:left="0" w:firstLine="420"/>
      </w:pPr>
      <w:rPr>
        <w:rFonts w:hint="eastAsia"/>
      </w:rPr>
    </w:lvl>
  </w:abstractNum>
  <w:abstractNum w:abstractNumId="2">
    <w:nsid w:val="B5D88B35"/>
    <w:multiLevelType w:val="singleLevel"/>
    <w:tmpl w:val="B5D88B35"/>
    <w:lvl w:ilvl="0" w:tentative="0">
      <w:start w:val="1"/>
      <w:numFmt w:val="chineseCounting"/>
      <w:suff w:val="nothing"/>
      <w:lvlText w:val="（%1）"/>
      <w:lvlJc w:val="left"/>
      <w:rPr>
        <w:rFonts w:hint="eastAsia"/>
        <w:b/>
        <w:bCs/>
      </w:rPr>
    </w:lvl>
  </w:abstractNum>
  <w:abstractNum w:abstractNumId="3">
    <w:nsid w:val="B894E302"/>
    <w:multiLevelType w:val="singleLevel"/>
    <w:tmpl w:val="B894E302"/>
    <w:lvl w:ilvl="0" w:tentative="0">
      <w:start w:val="1"/>
      <w:numFmt w:val="chineseCounting"/>
      <w:suff w:val="nothing"/>
      <w:lvlText w:val="%1、"/>
      <w:lvlJc w:val="left"/>
      <w:pPr>
        <w:ind w:left="0" w:firstLine="420"/>
      </w:pPr>
      <w:rPr>
        <w:rFonts w:hint="eastAsia"/>
      </w:rPr>
    </w:lvl>
  </w:abstractNum>
  <w:abstractNum w:abstractNumId="4">
    <w:nsid w:val="EB8E1698"/>
    <w:multiLevelType w:val="singleLevel"/>
    <w:tmpl w:val="EB8E1698"/>
    <w:lvl w:ilvl="0" w:tentative="0">
      <w:start w:val="1"/>
      <w:numFmt w:val="chineseCounting"/>
      <w:suff w:val="nothing"/>
      <w:lvlText w:val="（%1）"/>
      <w:lvlJc w:val="left"/>
      <w:rPr>
        <w:rFonts w:hint="eastAsia"/>
        <w:b/>
        <w:bCs/>
      </w:rPr>
    </w:lvl>
  </w:abstractNum>
  <w:abstractNum w:abstractNumId="5">
    <w:nsid w:val="EC8404B1"/>
    <w:multiLevelType w:val="singleLevel"/>
    <w:tmpl w:val="EC8404B1"/>
    <w:lvl w:ilvl="0" w:tentative="0">
      <w:start w:val="1"/>
      <w:numFmt w:val="chineseCounting"/>
      <w:suff w:val="nothing"/>
      <w:lvlText w:val="（%1）"/>
      <w:lvlJc w:val="left"/>
      <w:pPr>
        <w:ind w:left="-442"/>
      </w:pPr>
      <w:rPr>
        <w:rFonts w:hint="eastAsia"/>
        <w:b/>
        <w:bCs/>
      </w:rPr>
    </w:lvl>
  </w:abstractNum>
  <w:abstractNum w:abstractNumId="6">
    <w:nsid w:val="FF6A5468"/>
    <w:multiLevelType w:val="multilevel"/>
    <w:tmpl w:val="FF6A5468"/>
    <w:lvl w:ilvl="0" w:tentative="0">
      <w:start w:val="1"/>
      <w:numFmt w:val="decimal"/>
      <w:suff w:val="nothing"/>
      <w:lvlText w:val="%1."/>
      <w:lvlJc w:val="left"/>
      <w:pPr>
        <w:ind w:left="720" w:hanging="360"/>
      </w:pPr>
      <w:rPr>
        <w:rFonts w:hint="default" w:ascii="宋体" w:hAnsi="宋体" w:eastAsia="宋体" w:cs="宋体"/>
        <w:sz w:val="22"/>
        <w:szCs w:val="2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91D97D7"/>
    <w:multiLevelType w:val="singleLevel"/>
    <w:tmpl w:val="091D97D7"/>
    <w:lvl w:ilvl="0" w:tentative="0">
      <w:start w:val="1"/>
      <w:numFmt w:val="chineseCounting"/>
      <w:suff w:val="nothing"/>
      <w:lvlText w:val="（%1）"/>
      <w:lvlJc w:val="left"/>
      <w:rPr>
        <w:rFonts w:hint="eastAsia"/>
      </w:rPr>
    </w:lvl>
  </w:abstractNum>
  <w:abstractNum w:abstractNumId="8">
    <w:nsid w:val="0C0E1D74"/>
    <w:multiLevelType w:val="singleLevel"/>
    <w:tmpl w:val="0C0E1D74"/>
    <w:lvl w:ilvl="0" w:tentative="0">
      <w:start w:val="1"/>
      <w:numFmt w:val="chineseCounting"/>
      <w:suff w:val="nothing"/>
      <w:lvlText w:val="（%1）"/>
      <w:lvlJc w:val="left"/>
      <w:rPr>
        <w:rFonts w:hint="eastAsia"/>
      </w:rPr>
    </w:lvl>
  </w:abstractNum>
  <w:abstractNum w:abstractNumId="9">
    <w:nsid w:val="16E0CA64"/>
    <w:multiLevelType w:val="singleLevel"/>
    <w:tmpl w:val="16E0CA64"/>
    <w:lvl w:ilvl="0" w:tentative="0">
      <w:start w:val="1"/>
      <w:numFmt w:val="chineseCounting"/>
      <w:suff w:val="nothing"/>
      <w:lvlText w:val="（%1）"/>
      <w:lvlJc w:val="left"/>
      <w:pPr>
        <w:ind w:left="-442"/>
      </w:pPr>
      <w:rPr>
        <w:rFonts w:hint="eastAsia"/>
      </w:rPr>
    </w:lvl>
  </w:abstractNum>
  <w:abstractNum w:abstractNumId="10">
    <w:nsid w:val="262E62CE"/>
    <w:multiLevelType w:val="singleLevel"/>
    <w:tmpl w:val="262E62CE"/>
    <w:lvl w:ilvl="0" w:tentative="0">
      <w:start w:val="1"/>
      <w:numFmt w:val="chineseCounting"/>
      <w:suff w:val="nothing"/>
      <w:lvlText w:val="（%1）"/>
      <w:lvlJc w:val="left"/>
      <w:rPr>
        <w:rFonts w:hint="eastAsia"/>
      </w:rPr>
    </w:lvl>
  </w:abstractNum>
  <w:abstractNum w:abstractNumId="11">
    <w:nsid w:val="2C1B8B8F"/>
    <w:multiLevelType w:val="singleLevel"/>
    <w:tmpl w:val="2C1B8B8F"/>
    <w:lvl w:ilvl="0" w:tentative="0">
      <w:start w:val="1"/>
      <w:numFmt w:val="decimal"/>
      <w:suff w:val="nothing"/>
      <w:lvlText w:val="%1."/>
      <w:lvlJc w:val="left"/>
      <w:pPr>
        <w:ind w:left="425" w:hanging="425"/>
      </w:pPr>
      <w:rPr>
        <w:rFonts w:hint="default"/>
        <w:b w:val="0"/>
        <w:bCs w:val="0"/>
        <w:color w:val="auto"/>
      </w:rPr>
    </w:lvl>
  </w:abstractNum>
  <w:abstractNum w:abstractNumId="12">
    <w:nsid w:val="3A4D1C60"/>
    <w:multiLevelType w:val="singleLevel"/>
    <w:tmpl w:val="3A4D1C60"/>
    <w:lvl w:ilvl="0" w:tentative="0">
      <w:start w:val="1"/>
      <w:numFmt w:val="chineseCounting"/>
      <w:suff w:val="nothing"/>
      <w:lvlText w:val="%1、"/>
      <w:lvlJc w:val="left"/>
      <w:pPr>
        <w:ind w:left="0" w:firstLine="420"/>
      </w:pPr>
      <w:rPr>
        <w:rFonts w:hint="eastAsia"/>
      </w:rPr>
    </w:lvl>
  </w:abstractNum>
  <w:abstractNum w:abstractNumId="13">
    <w:nsid w:val="50BC382D"/>
    <w:multiLevelType w:val="singleLevel"/>
    <w:tmpl w:val="50BC382D"/>
    <w:lvl w:ilvl="0" w:tentative="0">
      <w:start w:val="1"/>
      <w:numFmt w:val="chineseCounting"/>
      <w:suff w:val="nothing"/>
      <w:lvlText w:val="（%1）"/>
      <w:lvlJc w:val="left"/>
      <w:rPr>
        <w:rFonts w:hint="eastAsia"/>
        <w:b/>
        <w:bCs/>
      </w:rPr>
    </w:lvl>
  </w:abstractNum>
  <w:abstractNum w:abstractNumId="14">
    <w:nsid w:val="5E11732E"/>
    <w:multiLevelType w:val="multilevel"/>
    <w:tmpl w:val="5E11732E"/>
    <w:lvl w:ilvl="0" w:tentative="0">
      <w:start w:val="1"/>
      <w:numFmt w:val="decimal"/>
      <w:lvlText w:val="%1."/>
      <w:lvlJc w:val="left"/>
      <w:pPr>
        <w:ind w:left="842"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5">
    <w:nsid w:val="7AD75155"/>
    <w:multiLevelType w:val="singleLevel"/>
    <w:tmpl w:val="7AD75155"/>
    <w:lvl w:ilvl="0" w:tentative="0">
      <w:start w:val="1"/>
      <w:numFmt w:val="chineseCounting"/>
      <w:suff w:val="nothing"/>
      <w:lvlText w:val="（%1）"/>
      <w:lvlJc w:val="left"/>
      <w:pPr>
        <w:ind w:left="-442"/>
      </w:pPr>
      <w:rPr>
        <w:rFonts w:hint="eastAsia"/>
        <w:b/>
        <w:bCs/>
      </w:rPr>
    </w:lvl>
  </w:abstractNum>
  <w:abstractNum w:abstractNumId="16">
    <w:nsid w:val="7B4355CB"/>
    <w:multiLevelType w:val="singleLevel"/>
    <w:tmpl w:val="7B4355CB"/>
    <w:lvl w:ilvl="0" w:tentative="0">
      <w:start w:val="1"/>
      <w:numFmt w:val="chineseCounting"/>
      <w:suff w:val="nothing"/>
      <w:lvlText w:val="（%1）"/>
      <w:lvlJc w:val="left"/>
      <w:rPr>
        <w:rFonts w:hint="eastAsia"/>
      </w:rPr>
    </w:lvl>
  </w:abstractNum>
  <w:abstractNum w:abstractNumId="17">
    <w:nsid w:val="7D5DDFC4"/>
    <w:multiLevelType w:val="singleLevel"/>
    <w:tmpl w:val="7D5DDFC4"/>
    <w:lvl w:ilvl="0" w:tentative="0">
      <w:start w:val="1"/>
      <w:numFmt w:val="chineseCounting"/>
      <w:suff w:val="nothing"/>
      <w:lvlText w:val="（%1）"/>
      <w:lvlJc w:val="left"/>
      <w:pPr>
        <w:ind w:left="-442"/>
      </w:pPr>
      <w:rPr>
        <w:rFonts w:hint="eastAsia"/>
      </w:rPr>
    </w:lvl>
  </w:abstractNum>
  <w:num w:numId="1">
    <w:abstractNumId w:val="3"/>
  </w:num>
  <w:num w:numId="2">
    <w:abstractNumId w:val="6"/>
  </w:num>
  <w:num w:numId="3">
    <w:abstractNumId w:val="4"/>
  </w:num>
  <w:num w:numId="4">
    <w:abstractNumId w:val="13"/>
  </w:num>
  <w:num w:numId="5">
    <w:abstractNumId w:val="2"/>
  </w:num>
  <w:num w:numId="6">
    <w:abstractNumId w:val="1"/>
  </w:num>
  <w:num w:numId="7">
    <w:abstractNumId w:val="0"/>
  </w:num>
  <w:num w:numId="8">
    <w:abstractNumId w:val="17"/>
  </w:num>
  <w:num w:numId="9">
    <w:abstractNumId w:val="15"/>
  </w:num>
  <w:num w:numId="10">
    <w:abstractNumId w:val="10"/>
  </w:num>
  <w:num w:numId="11">
    <w:abstractNumId w:val="8"/>
  </w:num>
  <w:num w:numId="12">
    <w:abstractNumId w:val="7"/>
  </w:num>
  <w:num w:numId="13">
    <w:abstractNumId w:val="12"/>
  </w:num>
  <w:num w:numId="14">
    <w:abstractNumId w:val="11"/>
  </w:num>
  <w:num w:numId="15">
    <w:abstractNumId w:val="5"/>
  </w:num>
  <w:num w:numId="16">
    <w:abstractNumId w:val="9"/>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45"/>
    <w:rsid w:val="00004F90"/>
    <w:rsid w:val="00023A65"/>
    <w:rsid w:val="0002602D"/>
    <w:rsid w:val="00045CF2"/>
    <w:rsid w:val="00051FEF"/>
    <w:rsid w:val="000570CD"/>
    <w:rsid w:val="00065E6F"/>
    <w:rsid w:val="00074A90"/>
    <w:rsid w:val="00077EC5"/>
    <w:rsid w:val="00085542"/>
    <w:rsid w:val="00085786"/>
    <w:rsid w:val="000905F8"/>
    <w:rsid w:val="000A3DB9"/>
    <w:rsid w:val="000A7A27"/>
    <w:rsid w:val="000C37C1"/>
    <w:rsid w:val="000D6D03"/>
    <w:rsid w:val="000E058F"/>
    <w:rsid w:val="000E1DE8"/>
    <w:rsid w:val="000E4882"/>
    <w:rsid w:val="000E6845"/>
    <w:rsid w:val="000F0CE2"/>
    <w:rsid w:val="00101DB7"/>
    <w:rsid w:val="00107625"/>
    <w:rsid w:val="0012066A"/>
    <w:rsid w:val="001224B5"/>
    <w:rsid w:val="00144F71"/>
    <w:rsid w:val="001570F3"/>
    <w:rsid w:val="00167BFA"/>
    <w:rsid w:val="00185B14"/>
    <w:rsid w:val="0018609E"/>
    <w:rsid w:val="001A2AC4"/>
    <w:rsid w:val="001B0803"/>
    <w:rsid w:val="001B221D"/>
    <w:rsid w:val="001B4B65"/>
    <w:rsid w:val="001C13E6"/>
    <w:rsid w:val="001C156C"/>
    <w:rsid w:val="001C6BCF"/>
    <w:rsid w:val="00203CC3"/>
    <w:rsid w:val="002078D0"/>
    <w:rsid w:val="00216DA7"/>
    <w:rsid w:val="00216F7A"/>
    <w:rsid w:val="00234D9F"/>
    <w:rsid w:val="002361FA"/>
    <w:rsid w:val="00246141"/>
    <w:rsid w:val="00247772"/>
    <w:rsid w:val="00247BAA"/>
    <w:rsid w:val="00257301"/>
    <w:rsid w:val="0026068A"/>
    <w:rsid w:val="00263EBD"/>
    <w:rsid w:val="00280A58"/>
    <w:rsid w:val="00280F26"/>
    <w:rsid w:val="0029763A"/>
    <w:rsid w:val="002A1A25"/>
    <w:rsid w:val="002C76A5"/>
    <w:rsid w:val="002E3F81"/>
    <w:rsid w:val="002E720E"/>
    <w:rsid w:val="002F7245"/>
    <w:rsid w:val="00305CE7"/>
    <w:rsid w:val="00327EBC"/>
    <w:rsid w:val="003300F8"/>
    <w:rsid w:val="0034416D"/>
    <w:rsid w:val="003552B0"/>
    <w:rsid w:val="003552BE"/>
    <w:rsid w:val="00361833"/>
    <w:rsid w:val="00376CBE"/>
    <w:rsid w:val="00392EF5"/>
    <w:rsid w:val="003A0DC1"/>
    <w:rsid w:val="003A67F1"/>
    <w:rsid w:val="003C1722"/>
    <w:rsid w:val="003D2BFD"/>
    <w:rsid w:val="003F496B"/>
    <w:rsid w:val="004118D4"/>
    <w:rsid w:val="00414E92"/>
    <w:rsid w:val="00415CE0"/>
    <w:rsid w:val="00416D6A"/>
    <w:rsid w:val="00436B22"/>
    <w:rsid w:val="00442473"/>
    <w:rsid w:val="004547D4"/>
    <w:rsid w:val="00473A57"/>
    <w:rsid w:val="00476C27"/>
    <w:rsid w:val="004845F2"/>
    <w:rsid w:val="00495EDE"/>
    <w:rsid w:val="004A55F0"/>
    <w:rsid w:val="004B30A9"/>
    <w:rsid w:val="004B68D6"/>
    <w:rsid w:val="004D5A7F"/>
    <w:rsid w:val="004D67C4"/>
    <w:rsid w:val="004E18FC"/>
    <w:rsid w:val="004E7045"/>
    <w:rsid w:val="004E7471"/>
    <w:rsid w:val="004F0A46"/>
    <w:rsid w:val="005049E3"/>
    <w:rsid w:val="005125C9"/>
    <w:rsid w:val="00514211"/>
    <w:rsid w:val="005204CC"/>
    <w:rsid w:val="00530F39"/>
    <w:rsid w:val="00535714"/>
    <w:rsid w:val="00540767"/>
    <w:rsid w:val="00551CBD"/>
    <w:rsid w:val="00554F89"/>
    <w:rsid w:val="00563274"/>
    <w:rsid w:val="0056720E"/>
    <w:rsid w:val="00585496"/>
    <w:rsid w:val="00586998"/>
    <w:rsid w:val="005A7790"/>
    <w:rsid w:val="005B24A8"/>
    <w:rsid w:val="005D6D40"/>
    <w:rsid w:val="005E1D76"/>
    <w:rsid w:val="005E218A"/>
    <w:rsid w:val="00615456"/>
    <w:rsid w:val="0062309A"/>
    <w:rsid w:val="00635D8D"/>
    <w:rsid w:val="00675736"/>
    <w:rsid w:val="006871C6"/>
    <w:rsid w:val="0068791F"/>
    <w:rsid w:val="006A2968"/>
    <w:rsid w:val="006A4A90"/>
    <w:rsid w:val="006A5D0E"/>
    <w:rsid w:val="006B539A"/>
    <w:rsid w:val="006C75B3"/>
    <w:rsid w:val="006D3B0F"/>
    <w:rsid w:val="006E105D"/>
    <w:rsid w:val="006E5B66"/>
    <w:rsid w:val="0070706D"/>
    <w:rsid w:val="007227B9"/>
    <w:rsid w:val="00723390"/>
    <w:rsid w:val="007234B4"/>
    <w:rsid w:val="00723F3C"/>
    <w:rsid w:val="00734B6E"/>
    <w:rsid w:val="00736927"/>
    <w:rsid w:val="007437F2"/>
    <w:rsid w:val="0075218B"/>
    <w:rsid w:val="00752539"/>
    <w:rsid w:val="007548DA"/>
    <w:rsid w:val="00754926"/>
    <w:rsid w:val="00771F5F"/>
    <w:rsid w:val="0077249D"/>
    <w:rsid w:val="00777630"/>
    <w:rsid w:val="007833AE"/>
    <w:rsid w:val="00795E9E"/>
    <w:rsid w:val="007A7C4B"/>
    <w:rsid w:val="007B5F69"/>
    <w:rsid w:val="007B75D5"/>
    <w:rsid w:val="007B78B9"/>
    <w:rsid w:val="007C2463"/>
    <w:rsid w:val="007C717F"/>
    <w:rsid w:val="007C7CC4"/>
    <w:rsid w:val="00812CEA"/>
    <w:rsid w:val="008174E6"/>
    <w:rsid w:val="00822B57"/>
    <w:rsid w:val="0082353A"/>
    <w:rsid w:val="00877011"/>
    <w:rsid w:val="0088246B"/>
    <w:rsid w:val="008A308B"/>
    <w:rsid w:val="008A44E1"/>
    <w:rsid w:val="008C777A"/>
    <w:rsid w:val="008D3345"/>
    <w:rsid w:val="008D53A8"/>
    <w:rsid w:val="008D7E8C"/>
    <w:rsid w:val="00906353"/>
    <w:rsid w:val="00907BEF"/>
    <w:rsid w:val="00912B26"/>
    <w:rsid w:val="009206A4"/>
    <w:rsid w:val="00923573"/>
    <w:rsid w:val="00964E70"/>
    <w:rsid w:val="0097036A"/>
    <w:rsid w:val="0098717A"/>
    <w:rsid w:val="00991321"/>
    <w:rsid w:val="009D23F8"/>
    <w:rsid w:val="00A04F17"/>
    <w:rsid w:val="00A10A2B"/>
    <w:rsid w:val="00A12085"/>
    <w:rsid w:val="00A22B86"/>
    <w:rsid w:val="00A2324C"/>
    <w:rsid w:val="00A4283A"/>
    <w:rsid w:val="00A44CB0"/>
    <w:rsid w:val="00A53375"/>
    <w:rsid w:val="00A54D99"/>
    <w:rsid w:val="00A57A5C"/>
    <w:rsid w:val="00A605F1"/>
    <w:rsid w:val="00A60F92"/>
    <w:rsid w:val="00A6285C"/>
    <w:rsid w:val="00A97B15"/>
    <w:rsid w:val="00AB078D"/>
    <w:rsid w:val="00AD64F1"/>
    <w:rsid w:val="00AE18A3"/>
    <w:rsid w:val="00AE5C1F"/>
    <w:rsid w:val="00B0513F"/>
    <w:rsid w:val="00B06B07"/>
    <w:rsid w:val="00B10E30"/>
    <w:rsid w:val="00B17C25"/>
    <w:rsid w:val="00B21391"/>
    <w:rsid w:val="00B23A2E"/>
    <w:rsid w:val="00B32584"/>
    <w:rsid w:val="00B37887"/>
    <w:rsid w:val="00B470DD"/>
    <w:rsid w:val="00B5535B"/>
    <w:rsid w:val="00B7280B"/>
    <w:rsid w:val="00B72D8E"/>
    <w:rsid w:val="00B72D93"/>
    <w:rsid w:val="00B92A78"/>
    <w:rsid w:val="00BA1BD0"/>
    <w:rsid w:val="00BB4A92"/>
    <w:rsid w:val="00BB7915"/>
    <w:rsid w:val="00BD5127"/>
    <w:rsid w:val="00BF4B2C"/>
    <w:rsid w:val="00C00B0E"/>
    <w:rsid w:val="00C0314E"/>
    <w:rsid w:val="00C06ECC"/>
    <w:rsid w:val="00C305AD"/>
    <w:rsid w:val="00C40D8B"/>
    <w:rsid w:val="00C43920"/>
    <w:rsid w:val="00C477E9"/>
    <w:rsid w:val="00C61411"/>
    <w:rsid w:val="00C7436A"/>
    <w:rsid w:val="00C76444"/>
    <w:rsid w:val="00C80335"/>
    <w:rsid w:val="00C84268"/>
    <w:rsid w:val="00CA6226"/>
    <w:rsid w:val="00CB6778"/>
    <w:rsid w:val="00CC15E0"/>
    <w:rsid w:val="00CC4BBA"/>
    <w:rsid w:val="00CE727D"/>
    <w:rsid w:val="00CF07FE"/>
    <w:rsid w:val="00CF3073"/>
    <w:rsid w:val="00CF790F"/>
    <w:rsid w:val="00D00718"/>
    <w:rsid w:val="00D03B32"/>
    <w:rsid w:val="00D14986"/>
    <w:rsid w:val="00D204BF"/>
    <w:rsid w:val="00D430BD"/>
    <w:rsid w:val="00D543BA"/>
    <w:rsid w:val="00D600E5"/>
    <w:rsid w:val="00D84718"/>
    <w:rsid w:val="00D84FE3"/>
    <w:rsid w:val="00D90A4F"/>
    <w:rsid w:val="00DA6AEF"/>
    <w:rsid w:val="00E10E64"/>
    <w:rsid w:val="00E20DFF"/>
    <w:rsid w:val="00E22773"/>
    <w:rsid w:val="00E2632C"/>
    <w:rsid w:val="00E4395B"/>
    <w:rsid w:val="00E65020"/>
    <w:rsid w:val="00E746B0"/>
    <w:rsid w:val="00E81A05"/>
    <w:rsid w:val="00E9057A"/>
    <w:rsid w:val="00E90D5E"/>
    <w:rsid w:val="00E916BA"/>
    <w:rsid w:val="00E95767"/>
    <w:rsid w:val="00E9747B"/>
    <w:rsid w:val="00EC537E"/>
    <w:rsid w:val="00EC5E5D"/>
    <w:rsid w:val="00ED024B"/>
    <w:rsid w:val="00EF44C0"/>
    <w:rsid w:val="00F02847"/>
    <w:rsid w:val="00F11471"/>
    <w:rsid w:val="00F11570"/>
    <w:rsid w:val="00F1445F"/>
    <w:rsid w:val="00F160C3"/>
    <w:rsid w:val="00F21F9D"/>
    <w:rsid w:val="00F22148"/>
    <w:rsid w:val="00F227BD"/>
    <w:rsid w:val="00F3071D"/>
    <w:rsid w:val="00F32A8A"/>
    <w:rsid w:val="00F448A2"/>
    <w:rsid w:val="00F5765B"/>
    <w:rsid w:val="00F81C64"/>
    <w:rsid w:val="00F9025C"/>
    <w:rsid w:val="00F9219B"/>
    <w:rsid w:val="00F93576"/>
    <w:rsid w:val="00FA5108"/>
    <w:rsid w:val="00FB42A3"/>
    <w:rsid w:val="00FC6268"/>
    <w:rsid w:val="00FE1269"/>
    <w:rsid w:val="01080A12"/>
    <w:rsid w:val="013E4434"/>
    <w:rsid w:val="01521C8D"/>
    <w:rsid w:val="01573BFE"/>
    <w:rsid w:val="016025FC"/>
    <w:rsid w:val="01B82438"/>
    <w:rsid w:val="01C20BC1"/>
    <w:rsid w:val="01C3064A"/>
    <w:rsid w:val="01CA3F1A"/>
    <w:rsid w:val="01DA0250"/>
    <w:rsid w:val="01DD3C4D"/>
    <w:rsid w:val="01E75B7A"/>
    <w:rsid w:val="022711FB"/>
    <w:rsid w:val="02647ECA"/>
    <w:rsid w:val="02702D13"/>
    <w:rsid w:val="02B80216"/>
    <w:rsid w:val="02CC3F80"/>
    <w:rsid w:val="02DC5CB3"/>
    <w:rsid w:val="02EB4148"/>
    <w:rsid w:val="02F456F2"/>
    <w:rsid w:val="02F92D08"/>
    <w:rsid w:val="02FB3EF3"/>
    <w:rsid w:val="031A0D17"/>
    <w:rsid w:val="0332621A"/>
    <w:rsid w:val="03345AEF"/>
    <w:rsid w:val="035166A0"/>
    <w:rsid w:val="03623F17"/>
    <w:rsid w:val="036A59B4"/>
    <w:rsid w:val="0374413D"/>
    <w:rsid w:val="03802AE2"/>
    <w:rsid w:val="038C592B"/>
    <w:rsid w:val="039B3DC0"/>
    <w:rsid w:val="039B5B6E"/>
    <w:rsid w:val="03B15391"/>
    <w:rsid w:val="03DB0660"/>
    <w:rsid w:val="042E05E9"/>
    <w:rsid w:val="04417EBE"/>
    <w:rsid w:val="044251D6"/>
    <w:rsid w:val="049251C3"/>
    <w:rsid w:val="04C6056D"/>
    <w:rsid w:val="04D7142F"/>
    <w:rsid w:val="04D806FC"/>
    <w:rsid w:val="04E90B5B"/>
    <w:rsid w:val="04EA6DAD"/>
    <w:rsid w:val="04F73278"/>
    <w:rsid w:val="05092FAB"/>
    <w:rsid w:val="051E0804"/>
    <w:rsid w:val="05226A04"/>
    <w:rsid w:val="052940F9"/>
    <w:rsid w:val="054F6C10"/>
    <w:rsid w:val="0575419C"/>
    <w:rsid w:val="057B3913"/>
    <w:rsid w:val="05A30D0A"/>
    <w:rsid w:val="05E76E48"/>
    <w:rsid w:val="06085010"/>
    <w:rsid w:val="06141C07"/>
    <w:rsid w:val="061A5470"/>
    <w:rsid w:val="06283BF8"/>
    <w:rsid w:val="062A4F87"/>
    <w:rsid w:val="062F07EF"/>
    <w:rsid w:val="06424CE7"/>
    <w:rsid w:val="0663023B"/>
    <w:rsid w:val="06862B05"/>
    <w:rsid w:val="068F5360"/>
    <w:rsid w:val="06AA0FF0"/>
    <w:rsid w:val="06BC2051"/>
    <w:rsid w:val="06DC2725"/>
    <w:rsid w:val="06E415DA"/>
    <w:rsid w:val="06FB6D1B"/>
    <w:rsid w:val="071653BB"/>
    <w:rsid w:val="071C25AF"/>
    <w:rsid w:val="0731192F"/>
    <w:rsid w:val="073836D3"/>
    <w:rsid w:val="07442078"/>
    <w:rsid w:val="076063E3"/>
    <w:rsid w:val="07723089"/>
    <w:rsid w:val="07846919"/>
    <w:rsid w:val="07886409"/>
    <w:rsid w:val="079E6376"/>
    <w:rsid w:val="07BB09AF"/>
    <w:rsid w:val="07C82CA9"/>
    <w:rsid w:val="07C84A57"/>
    <w:rsid w:val="081128A2"/>
    <w:rsid w:val="08514A4D"/>
    <w:rsid w:val="08A6123D"/>
    <w:rsid w:val="08B2196F"/>
    <w:rsid w:val="08FC14F1"/>
    <w:rsid w:val="09C63218"/>
    <w:rsid w:val="09E518F1"/>
    <w:rsid w:val="09ED69F7"/>
    <w:rsid w:val="0A264B9C"/>
    <w:rsid w:val="0A5B7E05"/>
    <w:rsid w:val="0A7B4003"/>
    <w:rsid w:val="0A881240"/>
    <w:rsid w:val="0A8C61EB"/>
    <w:rsid w:val="0A8E1ADF"/>
    <w:rsid w:val="0AB26E31"/>
    <w:rsid w:val="0AED40D0"/>
    <w:rsid w:val="0B3C7C36"/>
    <w:rsid w:val="0B53227B"/>
    <w:rsid w:val="0B584344"/>
    <w:rsid w:val="0B5E066F"/>
    <w:rsid w:val="0B630618"/>
    <w:rsid w:val="0B811AED"/>
    <w:rsid w:val="0B835865"/>
    <w:rsid w:val="0BEA7692"/>
    <w:rsid w:val="0BFA53FB"/>
    <w:rsid w:val="0BFC5617"/>
    <w:rsid w:val="0C032502"/>
    <w:rsid w:val="0C0F0EA7"/>
    <w:rsid w:val="0C4072B2"/>
    <w:rsid w:val="0C5E1E2E"/>
    <w:rsid w:val="0C607954"/>
    <w:rsid w:val="0C632FA1"/>
    <w:rsid w:val="0C9B098C"/>
    <w:rsid w:val="0C9E5704"/>
    <w:rsid w:val="0CC46135"/>
    <w:rsid w:val="0CD21ED4"/>
    <w:rsid w:val="0CFF240B"/>
    <w:rsid w:val="0D1F14B9"/>
    <w:rsid w:val="0D817B82"/>
    <w:rsid w:val="0DC25931"/>
    <w:rsid w:val="0DE41CB3"/>
    <w:rsid w:val="0E0610E3"/>
    <w:rsid w:val="0E321603"/>
    <w:rsid w:val="0E4017EB"/>
    <w:rsid w:val="0E6059EA"/>
    <w:rsid w:val="0E667483"/>
    <w:rsid w:val="0E8D69FB"/>
    <w:rsid w:val="0EBD108E"/>
    <w:rsid w:val="0EBE0962"/>
    <w:rsid w:val="0ECB4993"/>
    <w:rsid w:val="0F024CF3"/>
    <w:rsid w:val="0F130469"/>
    <w:rsid w:val="0F20786F"/>
    <w:rsid w:val="0F4A0448"/>
    <w:rsid w:val="0F6609A6"/>
    <w:rsid w:val="0F9D4A1B"/>
    <w:rsid w:val="0FAC4C5F"/>
    <w:rsid w:val="0FB34BC2"/>
    <w:rsid w:val="0FE44D09"/>
    <w:rsid w:val="0FFC5BE6"/>
    <w:rsid w:val="10134CDE"/>
    <w:rsid w:val="10246EEB"/>
    <w:rsid w:val="10284C2D"/>
    <w:rsid w:val="10507CE0"/>
    <w:rsid w:val="10582E9D"/>
    <w:rsid w:val="10ED3781"/>
    <w:rsid w:val="10F1501F"/>
    <w:rsid w:val="10F42D61"/>
    <w:rsid w:val="10F44B0F"/>
    <w:rsid w:val="111156C1"/>
    <w:rsid w:val="11173879"/>
    <w:rsid w:val="111E1B8C"/>
    <w:rsid w:val="113975C5"/>
    <w:rsid w:val="114508F1"/>
    <w:rsid w:val="11561326"/>
    <w:rsid w:val="115772DA"/>
    <w:rsid w:val="11A37A34"/>
    <w:rsid w:val="11C40F9F"/>
    <w:rsid w:val="11FB7633"/>
    <w:rsid w:val="12505D75"/>
    <w:rsid w:val="126B7053"/>
    <w:rsid w:val="12A54313"/>
    <w:rsid w:val="12AA36D7"/>
    <w:rsid w:val="12DA24BE"/>
    <w:rsid w:val="12DC37C5"/>
    <w:rsid w:val="12ED7A68"/>
    <w:rsid w:val="13030AAD"/>
    <w:rsid w:val="13215B42"/>
    <w:rsid w:val="13383132"/>
    <w:rsid w:val="134E6759"/>
    <w:rsid w:val="135724DF"/>
    <w:rsid w:val="137D703E"/>
    <w:rsid w:val="13876010"/>
    <w:rsid w:val="138A175B"/>
    <w:rsid w:val="13946135"/>
    <w:rsid w:val="13BE1131"/>
    <w:rsid w:val="13C17FD8"/>
    <w:rsid w:val="13C93A4E"/>
    <w:rsid w:val="13CF066F"/>
    <w:rsid w:val="13EB21F9"/>
    <w:rsid w:val="13FA68E0"/>
    <w:rsid w:val="14531B4D"/>
    <w:rsid w:val="14664623"/>
    <w:rsid w:val="147440F9"/>
    <w:rsid w:val="14777F31"/>
    <w:rsid w:val="14A64372"/>
    <w:rsid w:val="15055184"/>
    <w:rsid w:val="15347BD0"/>
    <w:rsid w:val="153A0BDD"/>
    <w:rsid w:val="15456076"/>
    <w:rsid w:val="15516865"/>
    <w:rsid w:val="157B135B"/>
    <w:rsid w:val="158741A4"/>
    <w:rsid w:val="15891CCA"/>
    <w:rsid w:val="15E96C0C"/>
    <w:rsid w:val="15EC2259"/>
    <w:rsid w:val="15F64E85"/>
    <w:rsid w:val="161063F4"/>
    <w:rsid w:val="16315EBE"/>
    <w:rsid w:val="1638549E"/>
    <w:rsid w:val="16534086"/>
    <w:rsid w:val="168A5CC1"/>
    <w:rsid w:val="168E1562"/>
    <w:rsid w:val="169C5A2D"/>
    <w:rsid w:val="16AB7F8F"/>
    <w:rsid w:val="16CD3E38"/>
    <w:rsid w:val="16DE05F6"/>
    <w:rsid w:val="177E3384"/>
    <w:rsid w:val="179C4AFE"/>
    <w:rsid w:val="179E0CE0"/>
    <w:rsid w:val="17AA4179"/>
    <w:rsid w:val="17B44FF8"/>
    <w:rsid w:val="18087B95"/>
    <w:rsid w:val="181D494B"/>
    <w:rsid w:val="182E79B3"/>
    <w:rsid w:val="18512847"/>
    <w:rsid w:val="189A41EE"/>
    <w:rsid w:val="189F35B2"/>
    <w:rsid w:val="18A30BB7"/>
    <w:rsid w:val="18C33745"/>
    <w:rsid w:val="18DB4575"/>
    <w:rsid w:val="190E0109"/>
    <w:rsid w:val="191D30CA"/>
    <w:rsid w:val="199E386A"/>
    <w:rsid w:val="19D76303"/>
    <w:rsid w:val="19E61C9D"/>
    <w:rsid w:val="1A187AC0"/>
    <w:rsid w:val="1A271AB1"/>
    <w:rsid w:val="1A562397"/>
    <w:rsid w:val="1A613215"/>
    <w:rsid w:val="1A6567E3"/>
    <w:rsid w:val="1A79556E"/>
    <w:rsid w:val="1A813FFA"/>
    <w:rsid w:val="1A9609E5"/>
    <w:rsid w:val="1A9C0831"/>
    <w:rsid w:val="1A9F3D3E"/>
    <w:rsid w:val="1AA13896"/>
    <w:rsid w:val="1AEA72E3"/>
    <w:rsid w:val="1AF35E37"/>
    <w:rsid w:val="1AF5395E"/>
    <w:rsid w:val="1B040045"/>
    <w:rsid w:val="1B302327"/>
    <w:rsid w:val="1B6B4396"/>
    <w:rsid w:val="1B724EFE"/>
    <w:rsid w:val="1B8E37DE"/>
    <w:rsid w:val="1B903686"/>
    <w:rsid w:val="1BE64BF9"/>
    <w:rsid w:val="1C1E6EE4"/>
    <w:rsid w:val="1C3B6E40"/>
    <w:rsid w:val="1C760ACE"/>
    <w:rsid w:val="1C927A29"/>
    <w:rsid w:val="1C9F6277"/>
    <w:rsid w:val="1CB6536F"/>
    <w:rsid w:val="1CB77A63"/>
    <w:rsid w:val="1CDA72AF"/>
    <w:rsid w:val="1CFF6D16"/>
    <w:rsid w:val="1D046798"/>
    <w:rsid w:val="1D061E52"/>
    <w:rsid w:val="1D1C3424"/>
    <w:rsid w:val="1D404D2C"/>
    <w:rsid w:val="1D4171CC"/>
    <w:rsid w:val="1D5030CD"/>
    <w:rsid w:val="1D6848BB"/>
    <w:rsid w:val="1D6F5C49"/>
    <w:rsid w:val="1D7414B2"/>
    <w:rsid w:val="1D790876"/>
    <w:rsid w:val="1D927B8A"/>
    <w:rsid w:val="1DB44A85"/>
    <w:rsid w:val="1DBF5145"/>
    <w:rsid w:val="1E1660C5"/>
    <w:rsid w:val="1E7E1EBC"/>
    <w:rsid w:val="1E8C6387"/>
    <w:rsid w:val="1EA01E32"/>
    <w:rsid w:val="1EA53289"/>
    <w:rsid w:val="1EB853CE"/>
    <w:rsid w:val="1EE95587"/>
    <w:rsid w:val="1F071EB1"/>
    <w:rsid w:val="1F1F544D"/>
    <w:rsid w:val="1F335E56"/>
    <w:rsid w:val="1F355A52"/>
    <w:rsid w:val="1F4153C3"/>
    <w:rsid w:val="1F472D5E"/>
    <w:rsid w:val="1FB86721"/>
    <w:rsid w:val="1FD224BF"/>
    <w:rsid w:val="1FD46237"/>
    <w:rsid w:val="1FE3622D"/>
    <w:rsid w:val="1FED554B"/>
    <w:rsid w:val="1FF93EF0"/>
    <w:rsid w:val="204E2634"/>
    <w:rsid w:val="20601879"/>
    <w:rsid w:val="207231D9"/>
    <w:rsid w:val="20755DFC"/>
    <w:rsid w:val="209651C2"/>
    <w:rsid w:val="20987265"/>
    <w:rsid w:val="20A756FA"/>
    <w:rsid w:val="20C6112D"/>
    <w:rsid w:val="20D9162C"/>
    <w:rsid w:val="20DD736E"/>
    <w:rsid w:val="20DE4D42"/>
    <w:rsid w:val="20F327E0"/>
    <w:rsid w:val="212E5E1B"/>
    <w:rsid w:val="21693603"/>
    <w:rsid w:val="216B6728"/>
    <w:rsid w:val="21723870"/>
    <w:rsid w:val="21AB2F17"/>
    <w:rsid w:val="21C916A0"/>
    <w:rsid w:val="21D01400"/>
    <w:rsid w:val="21DE514B"/>
    <w:rsid w:val="21E12E8E"/>
    <w:rsid w:val="21E14C3C"/>
    <w:rsid w:val="21E16361"/>
    <w:rsid w:val="21F66939"/>
    <w:rsid w:val="21F91F85"/>
    <w:rsid w:val="222122BA"/>
    <w:rsid w:val="22404563"/>
    <w:rsid w:val="225B6D4B"/>
    <w:rsid w:val="226A1644"/>
    <w:rsid w:val="228F4698"/>
    <w:rsid w:val="23140548"/>
    <w:rsid w:val="23195DF0"/>
    <w:rsid w:val="23294AEC"/>
    <w:rsid w:val="23362D65"/>
    <w:rsid w:val="23580F2E"/>
    <w:rsid w:val="237B36F5"/>
    <w:rsid w:val="23AB5501"/>
    <w:rsid w:val="23C26A07"/>
    <w:rsid w:val="240D1D18"/>
    <w:rsid w:val="242847AC"/>
    <w:rsid w:val="24376D95"/>
    <w:rsid w:val="245711E5"/>
    <w:rsid w:val="24773635"/>
    <w:rsid w:val="249935AC"/>
    <w:rsid w:val="24A94D22"/>
    <w:rsid w:val="24FA6740"/>
    <w:rsid w:val="251C7F7B"/>
    <w:rsid w:val="25540030"/>
    <w:rsid w:val="257B0806"/>
    <w:rsid w:val="258759B6"/>
    <w:rsid w:val="2591184A"/>
    <w:rsid w:val="25956469"/>
    <w:rsid w:val="25EB6089"/>
    <w:rsid w:val="260333D3"/>
    <w:rsid w:val="261849A4"/>
    <w:rsid w:val="261F5D33"/>
    <w:rsid w:val="2637307C"/>
    <w:rsid w:val="26624D38"/>
    <w:rsid w:val="266F6CBA"/>
    <w:rsid w:val="26761D3B"/>
    <w:rsid w:val="26D905D7"/>
    <w:rsid w:val="26EF1BA9"/>
    <w:rsid w:val="26FE4F59"/>
    <w:rsid w:val="270C0B6D"/>
    <w:rsid w:val="272E0923"/>
    <w:rsid w:val="274243CE"/>
    <w:rsid w:val="27545728"/>
    <w:rsid w:val="275E288B"/>
    <w:rsid w:val="27765E26"/>
    <w:rsid w:val="277A5916"/>
    <w:rsid w:val="27D33279"/>
    <w:rsid w:val="27E13F6E"/>
    <w:rsid w:val="280B4461"/>
    <w:rsid w:val="282D5C73"/>
    <w:rsid w:val="284008D6"/>
    <w:rsid w:val="286345FC"/>
    <w:rsid w:val="288A7DDB"/>
    <w:rsid w:val="28D97D04"/>
    <w:rsid w:val="28F848DF"/>
    <w:rsid w:val="291B6C85"/>
    <w:rsid w:val="292C5205"/>
    <w:rsid w:val="29336B33"/>
    <w:rsid w:val="297E0FC2"/>
    <w:rsid w:val="29830A23"/>
    <w:rsid w:val="298C36DF"/>
    <w:rsid w:val="29E7300B"/>
    <w:rsid w:val="29F2224C"/>
    <w:rsid w:val="2A2B2EF8"/>
    <w:rsid w:val="2A2C6C70"/>
    <w:rsid w:val="2A6401B8"/>
    <w:rsid w:val="2A685EFA"/>
    <w:rsid w:val="2AA1765E"/>
    <w:rsid w:val="2AAF1D7B"/>
    <w:rsid w:val="2AB75685"/>
    <w:rsid w:val="2AE70B9E"/>
    <w:rsid w:val="2B010068"/>
    <w:rsid w:val="2B150666"/>
    <w:rsid w:val="2B4F0B33"/>
    <w:rsid w:val="2B7E34FB"/>
    <w:rsid w:val="2B913769"/>
    <w:rsid w:val="2B97636B"/>
    <w:rsid w:val="2B9D59C3"/>
    <w:rsid w:val="2BD82C0B"/>
    <w:rsid w:val="2BEC66B7"/>
    <w:rsid w:val="2BED23EC"/>
    <w:rsid w:val="2C211517"/>
    <w:rsid w:val="2C3342E6"/>
    <w:rsid w:val="2C9D5C03"/>
    <w:rsid w:val="2CB90C8F"/>
    <w:rsid w:val="2CF27CFD"/>
    <w:rsid w:val="2D042DEF"/>
    <w:rsid w:val="2D186C5B"/>
    <w:rsid w:val="2D201C96"/>
    <w:rsid w:val="2D2105E2"/>
    <w:rsid w:val="2D431581"/>
    <w:rsid w:val="2D470754"/>
    <w:rsid w:val="2D48597E"/>
    <w:rsid w:val="2D5B79F0"/>
    <w:rsid w:val="2D621DCA"/>
    <w:rsid w:val="2D685C7F"/>
    <w:rsid w:val="2D807C69"/>
    <w:rsid w:val="2DC25921"/>
    <w:rsid w:val="2DC57D68"/>
    <w:rsid w:val="2DC86CB0"/>
    <w:rsid w:val="2DE25FC3"/>
    <w:rsid w:val="2DF53F49"/>
    <w:rsid w:val="2E0000EA"/>
    <w:rsid w:val="2E051061"/>
    <w:rsid w:val="2E1B3283"/>
    <w:rsid w:val="2E24211B"/>
    <w:rsid w:val="2E642E7C"/>
    <w:rsid w:val="2E7B126A"/>
    <w:rsid w:val="2EA9088F"/>
    <w:rsid w:val="2EFC30B5"/>
    <w:rsid w:val="2F154177"/>
    <w:rsid w:val="2F226A05"/>
    <w:rsid w:val="2F2820FC"/>
    <w:rsid w:val="2F6A6270"/>
    <w:rsid w:val="2F807DA9"/>
    <w:rsid w:val="2F926074"/>
    <w:rsid w:val="300274B9"/>
    <w:rsid w:val="300425E8"/>
    <w:rsid w:val="302D729E"/>
    <w:rsid w:val="30825157"/>
    <w:rsid w:val="309D2676"/>
    <w:rsid w:val="30AA3AD7"/>
    <w:rsid w:val="30E3452C"/>
    <w:rsid w:val="31083F93"/>
    <w:rsid w:val="310B3A83"/>
    <w:rsid w:val="31540F86"/>
    <w:rsid w:val="316867E0"/>
    <w:rsid w:val="31A95E5D"/>
    <w:rsid w:val="31C81974"/>
    <w:rsid w:val="31D876F0"/>
    <w:rsid w:val="31E00A6C"/>
    <w:rsid w:val="31FC33CC"/>
    <w:rsid w:val="320A5AE9"/>
    <w:rsid w:val="323D60FF"/>
    <w:rsid w:val="323F4F9B"/>
    <w:rsid w:val="32472899"/>
    <w:rsid w:val="325D4A32"/>
    <w:rsid w:val="3264169D"/>
    <w:rsid w:val="327C4B1C"/>
    <w:rsid w:val="32805DAB"/>
    <w:rsid w:val="32A970B0"/>
    <w:rsid w:val="32CC2D9E"/>
    <w:rsid w:val="32F72511"/>
    <w:rsid w:val="32F93B9B"/>
    <w:rsid w:val="331D5253"/>
    <w:rsid w:val="33390130"/>
    <w:rsid w:val="33550FE6"/>
    <w:rsid w:val="337376BE"/>
    <w:rsid w:val="33AF4E05"/>
    <w:rsid w:val="33B10912"/>
    <w:rsid w:val="33FB7B3F"/>
    <w:rsid w:val="34125129"/>
    <w:rsid w:val="3421036E"/>
    <w:rsid w:val="3434509F"/>
    <w:rsid w:val="345F0C0E"/>
    <w:rsid w:val="34645984"/>
    <w:rsid w:val="34777018"/>
    <w:rsid w:val="34796F56"/>
    <w:rsid w:val="348222AE"/>
    <w:rsid w:val="34AE4E51"/>
    <w:rsid w:val="34B239C2"/>
    <w:rsid w:val="34C03CB2"/>
    <w:rsid w:val="34DB5F68"/>
    <w:rsid w:val="34DD5737"/>
    <w:rsid w:val="35270760"/>
    <w:rsid w:val="35494B7A"/>
    <w:rsid w:val="356C2617"/>
    <w:rsid w:val="367A2875"/>
    <w:rsid w:val="36A4650C"/>
    <w:rsid w:val="36B10C29"/>
    <w:rsid w:val="36E876C0"/>
    <w:rsid w:val="37011D0F"/>
    <w:rsid w:val="37040D59"/>
    <w:rsid w:val="37200D41"/>
    <w:rsid w:val="37386C54"/>
    <w:rsid w:val="374A0160"/>
    <w:rsid w:val="3773682C"/>
    <w:rsid w:val="37AF022F"/>
    <w:rsid w:val="381B0A50"/>
    <w:rsid w:val="382C22E7"/>
    <w:rsid w:val="38390ED6"/>
    <w:rsid w:val="383A69FC"/>
    <w:rsid w:val="38A74091"/>
    <w:rsid w:val="38DD5D05"/>
    <w:rsid w:val="3934169D"/>
    <w:rsid w:val="39363667"/>
    <w:rsid w:val="39462149"/>
    <w:rsid w:val="397D29BD"/>
    <w:rsid w:val="39C3786F"/>
    <w:rsid w:val="39D54C2E"/>
    <w:rsid w:val="39E83924"/>
    <w:rsid w:val="39F5707E"/>
    <w:rsid w:val="39FC040D"/>
    <w:rsid w:val="3A0A26A9"/>
    <w:rsid w:val="3A16719C"/>
    <w:rsid w:val="3A243FC9"/>
    <w:rsid w:val="3A350AC8"/>
    <w:rsid w:val="3A390567"/>
    <w:rsid w:val="3A410516"/>
    <w:rsid w:val="3A437DEA"/>
    <w:rsid w:val="3A4B6C9E"/>
    <w:rsid w:val="3A557B1D"/>
    <w:rsid w:val="3A571AE7"/>
    <w:rsid w:val="3A581CFB"/>
    <w:rsid w:val="3A5F274A"/>
    <w:rsid w:val="3A7617F2"/>
    <w:rsid w:val="3A83468A"/>
    <w:rsid w:val="3AB331C1"/>
    <w:rsid w:val="3ABF28DF"/>
    <w:rsid w:val="3AC66766"/>
    <w:rsid w:val="3AC95E1B"/>
    <w:rsid w:val="3B0532F1"/>
    <w:rsid w:val="3B1B0020"/>
    <w:rsid w:val="3B227CE0"/>
    <w:rsid w:val="3B251BE5"/>
    <w:rsid w:val="3B2714BA"/>
    <w:rsid w:val="3B3B31B7"/>
    <w:rsid w:val="3B653D90"/>
    <w:rsid w:val="3B936B4F"/>
    <w:rsid w:val="3BDC22A4"/>
    <w:rsid w:val="3BDF1D94"/>
    <w:rsid w:val="3BE21884"/>
    <w:rsid w:val="3BEB40E5"/>
    <w:rsid w:val="3C1934F8"/>
    <w:rsid w:val="3C355E58"/>
    <w:rsid w:val="3C4542ED"/>
    <w:rsid w:val="3C5E0F0B"/>
    <w:rsid w:val="3C77021F"/>
    <w:rsid w:val="3C7C20B5"/>
    <w:rsid w:val="3C814BF9"/>
    <w:rsid w:val="3C8446EA"/>
    <w:rsid w:val="3CC35212"/>
    <w:rsid w:val="3CC72F54"/>
    <w:rsid w:val="3CD76F0F"/>
    <w:rsid w:val="3D0777F5"/>
    <w:rsid w:val="3D0870C9"/>
    <w:rsid w:val="3D157D0E"/>
    <w:rsid w:val="3D177B5B"/>
    <w:rsid w:val="3D7604D6"/>
    <w:rsid w:val="3D7C1A58"/>
    <w:rsid w:val="3DAE5EC2"/>
    <w:rsid w:val="3DB56F56"/>
    <w:rsid w:val="3DFA4C63"/>
    <w:rsid w:val="3E006BD7"/>
    <w:rsid w:val="3E12478C"/>
    <w:rsid w:val="3E133F77"/>
    <w:rsid w:val="3E15394A"/>
    <w:rsid w:val="3E2607ED"/>
    <w:rsid w:val="3E3D1BF9"/>
    <w:rsid w:val="3E436972"/>
    <w:rsid w:val="3E7B2CAF"/>
    <w:rsid w:val="3E9B36AB"/>
    <w:rsid w:val="3EA864FE"/>
    <w:rsid w:val="3ED2798E"/>
    <w:rsid w:val="3EF45B57"/>
    <w:rsid w:val="3F2226C4"/>
    <w:rsid w:val="3F4E08C2"/>
    <w:rsid w:val="3FE40352"/>
    <w:rsid w:val="3FE71217"/>
    <w:rsid w:val="3FEA49B8"/>
    <w:rsid w:val="400A47AF"/>
    <w:rsid w:val="40154CEE"/>
    <w:rsid w:val="401E0F79"/>
    <w:rsid w:val="402E5098"/>
    <w:rsid w:val="407056B1"/>
    <w:rsid w:val="407F6468"/>
    <w:rsid w:val="4093314D"/>
    <w:rsid w:val="40997E0B"/>
    <w:rsid w:val="40B76E3C"/>
    <w:rsid w:val="40BC6B48"/>
    <w:rsid w:val="40BF3CAA"/>
    <w:rsid w:val="40CB0B39"/>
    <w:rsid w:val="40DF6392"/>
    <w:rsid w:val="4101455B"/>
    <w:rsid w:val="410B3AB4"/>
    <w:rsid w:val="410E3E35"/>
    <w:rsid w:val="411C3143"/>
    <w:rsid w:val="41395AA3"/>
    <w:rsid w:val="413E0580"/>
    <w:rsid w:val="417B60BB"/>
    <w:rsid w:val="417B6E41"/>
    <w:rsid w:val="418D4040"/>
    <w:rsid w:val="41922D8E"/>
    <w:rsid w:val="41B15F81"/>
    <w:rsid w:val="41B31CF9"/>
    <w:rsid w:val="41CE268F"/>
    <w:rsid w:val="41F06AA9"/>
    <w:rsid w:val="41F12821"/>
    <w:rsid w:val="42041029"/>
    <w:rsid w:val="423F3909"/>
    <w:rsid w:val="428D254A"/>
    <w:rsid w:val="429531AD"/>
    <w:rsid w:val="42A07A35"/>
    <w:rsid w:val="42A11CFD"/>
    <w:rsid w:val="42AC6A21"/>
    <w:rsid w:val="42B51E33"/>
    <w:rsid w:val="42B77DB9"/>
    <w:rsid w:val="42DA32B5"/>
    <w:rsid w:val="430A1DED"/>
    <w:rsid w:val="430B40D6"/>
    <w:rsid w:val="43120CA1"/>
    <w:rsid w:val="43157101"/>
    <w:rsid w:val="433C5D1E"/>
    <w:rsid w:val="43470E11"/>
    <w:rsid w:val="439D4A0F"/>
    <w:rsid w:val="43CD63C5"/>
    <w:rsid w:val="43E704DE"/>
    <w:rsid w:val="44053DE1"/>
    <w:rsid w:val="4420119C"/>
    <w:rsid w:val="44552246"/>
    <w:rsid w:val="445A46AE"/>
    <w:rsid w:val="448C6831"/>
    <w:rsid w:val="449C6A74"/>
    <w:rsid w:val="44A60EAD"/>
    <w:rsid w:val="44B02520"/>
    <w:rsid w:val="44B813D4"/>
    <w:rsid w:val="44C9538F"/>
    <w:rsid w:val="44D34460"/>
    <w:rsid w:val="44D75CFE"/>
    <w:rsid w:val="44E26451"/>
    <w:rsid w:val="44EA2734"/>
    <w:rsid w:val="44EE2CAA"/>
    <w:rsid w:val="44FC7513"/>
    <w:rsid w:val="453273D9"/>
    <w:rsid w:val="4533080F"/>
    <w:rsid w:val="4557299B"/>
    <w:rsid w:val="45B26BC6"/>
    <w:rsid w:val="45B37E39"/>
    <w:rsid w:val="45B85B30"/>
    <w:rsid w:val="45F97EF6"/>
    <w:rsid w:val="45FE1BA9"/>
    <w:rsid w:val="45FE72BB"/>
    <w:rsid w:val="461D07A5"/>
    <w:rsid w:val="46431172"/>
    <w:rsid w:val="464534A6"/>
    <w:rsid w:val="46604715"/>
    <w:rsid w:val="46AC4F69"/>
    <w:rsid w:val="46D01214"/>
    <w:rsid w:val="46D87B0C"/>
    <w:rsid w:val="46DC75FC"/>
    <w:rsid w:val="46DD5122"/>
    <w:rsid w:val="46EC2E54"/>
    <w:rsid w:val="471274C2"/>
    <w:rsid w:val="471F28DC"/>
    <w:rsid w:val="47271439"/>
    <w:rsid w:val="4732600C"/>
    <w:rsid w:val="47345A4F"/>
    <w:rsid w:val="474D674C"/>
    <w:rsid w:val="47556C73"/>
    <w:rsid w:val="4760647F"/>
    <w:rsid w:val="4799729B"/>
    <w:rsid w:val="479A3013"/>
    <w:rsid w:val="47AA0C6D"/>
    <w:rsid w:val="47AA7A75"/>
    <w:rsid w:val="47B440D5"/>
    <w:rsid w:val="47C50090"/>
    <w:rsid w:val="47CD0DC3"/>
    <w:rsid w:val="48036E0A"/>
    <w:rsid w:val="481921FD"/>
    <w:rsid w:val="484E277B"/>
    <w:rsid w:val="48592ECE"/>
    <w:rsid w:val="48F21359"/>
    <w:rsid w:val="49134F46"/>
    <w:rsid w:val="49311755"/>
    <w:rsid w:val="494D658F"/>
    <w:rsid w:val="495E0BE5"/>
    <w:rsid w:val="49690EEF"/>
    <w:rsid w:val="498460A0"/>
    <w:rsid w:val="49B7342A"/>
    <w:rsid w:val="49D00F6E"/>
    <w:rsid w:val="4A080708"/>
    <w:rsid w:val="4A111CB3"/>
    <w:rsid w:val="4A211AF6"/>
    <w:rsid w:val="4A2C089A"/>
    <w:rsid w:val="4A71383E"/>
    <w:rsid w:val="4AA348A3"/>
    <w:rsid w:val="4AA87194"/>
    <w:rsid w:val="4AB278B1"/>
    <w:rsid w:val="4AB663B6"/>
    <w:rsid w:val="4AB84A68"/>
    <w:rsid w:val="4B1E6EA8"/>
    <w:rsid w:val="4B3C2D5F"/>
    <w:rsid w:val="4B520BF6"/>
    <w:rsid w:val="4B7F2C4C"/>
    <w:rsid w:val="4B8C1866"/>
    <w:rsid w:val="4B8E2E8F"/>
    <w:rsid w:val="4B9E1324"/>
    <w:rsid w:val="4BD50ABE"/>
    <w:rsid w:val="4BD9235C"/>
    <w:rsid w:val="4C150CB4"/>
    <w:rsid w:val="4C243D45"/>
    <w:rsid w:val="4C2D178C"/>
    <w:rsid w:val="4C602A7D"/>
    <w:rsid w:val="4C7C5896"/>
    <w:rsid w:val="4CA367FA"/>
    <w:rsid w:val="4CB16E35"/>
    <w:rsid w:val="4CB42DC9"/>
    <w:rsid w:val="4CBC114D"/>
    <w:rsid w:val="4CC71512"/>
    <w:rsid w:val="4D3315D8"/>
    <w:rsid w:val="4D5C1497"/>
    <w:rsid w:val="4D616AAD"/>
    <w:rsid w:val="4D64034B"/>
    <w:rsid w:val="4D877174"/>
    <w:rsid w:val="4DAE7818"/>
    <w:rsid w:val="4DE4323A"/>
    <w:rsid w:val="4E0D12D9"/>
    <w:rsid w:val="4E395334"/>
    <w:rsid w:val="4E712D20"/>
    <w:rsid w:val="4E7740AE"/>
    <w:rsid w:val="4E8C5E19"/>
    <w:rsid w:val="4E8F13F8"/>
    <w:rsid w:val="4EE53C0F"/>
    <w:rsid w:val="4F245FE4"/>
    <w:rsid w:val="4F275AD4"/>
    <w:rsid w:val="4F8C5937"/>
    <w:rsid w:val="4FAE58AE"/>
    <w:rsid w:val="4FD01CC8"/>
    <w:rsid w:val="4FD23C92"/>
    <w:rsid w:val="50250266"/>
    <w:rsid w:val="5039786D"/>
    <w:rsid w:val="507C2690"/>
    <w:rsid w:val="507C3BFE"/>
    <w:rsid w:val="50885DEF"/>
    <w:rsid w:val="50901457"/>
    <w:rsid w:val="509954AE"/>
    <w:rsid w:val="509C7DFC"/>
    <w:rsid w:val="50A62A29"/>
    <w:rsid w:val="50EA6DB9"/>
    <w:rsid w:val="511856D5"/>
    <w:rsid w:val="512F7D12"/>
    <w:rsid w:val="514209A3"/>
    <w:rsid w:val="514E10F6"/>
    <w:rsid w:val="5155797B"/>
    <w:rsid w:val="51605738"/>
    <w:rsid w:val="51954F77"/>
    <w:rsid w:val="51970958"/>
    <w:rsid w:val="51FA74D0"/>
    <w:rsid w:val="520C16C0"/>
    <w:rsid w:val="521E31BF"/>
    <w:rsid w:val="522824AD"/>
    <w:rsid w:val="52470B24"/>
    <w:rsid w:val="52495D62"/>
    <w:rsid w:val="5253098E"/>
    <w:rsid w:val="529A036B"/>
    <w:rsid w:val="529B480F"/>
    <w:rsid w:val="52A66D10"/>
    <w:rsid w:val="52D12821"/>
    <w:rsid w:val="52E43B5E"/>
    <w:rsid w:val="52ED45B9"/>
    <w:rsid w:val="52F932E4"/>
    <w:rsid w:val="530103EA"/>
    <w:rsid w:val="531225F7"/>
    <w:rsid w:val="53285977"/>
    <w:rsid w:val="53432B32"/>
    <w:rsid w:val="535624E4"/>
    <w:rsid w:val="536040EB"/>
    <w:rsid w:val="536B1A86"/>
    <w:rsid w:val="53852DC9"/>
    <w:rsid w:val="53A5521A"/>
    <w:rsid w:val="53D63625"/>
    <w:rsid w:val="53DB410D"/>
    <w:rsid w:val="53E51B1F"/>
    <w:rsid w:val="53E5700D"/>
    <w:rsid w:val="53F11EB9"/>
    <w:rsid w:val="540D1657"/>
    <w:rsid w:val="544919E4"/>
    <w:rsid w:val="546155E5"/>
    <w:rsid w:val="546522AA"/>
    <w:rsid w:val="546B1FBF"/>
    <w:rsid w:val="547217D4"/>
    <w:rsid w:val="549F610D"/>
    <w:rsid w:val="54FC355F"/>
    <w:rsid w:val="54FC530D"/>
    <w:rsid w:val="550F12AA"/>
    <w:rsid w:val="554A6611"/>
    <w:rsid w:val="55711857"/>
    <w:rsid w:val="5579414E"/>
    <w:rsid w:val="557F1231"/>
    <w:rsid w:val="55915A56"/>
    <w:rsid w:val="559848CD"/>
    <w:rsid w:val="559C3120"/>
    <w:rsid w:val="55A21A11"/>
    <w:rsid w:val="55BD684B"/>
    <w:rsid w:val="55BE25C3"/>
    <w:rsid w:val="55D122F6"/>
    <w:rsid w:val="560B32E9"/>
    <w:rsid w:val="5627460C"/>
    <w:rsid w:val="5674401F"/>
    <w:rsid w:val="567E622C"/>
    <w:rsid w:val="568945DF"/>
    <w:rsid w:val="56C3361B"/>
    <w:rsid w:val="56CC4187"/>
    <w:rsid w:val="56D26F61"/>
    <w:rsid w:val="56DA1D2D"/>
    <w:rsid w:val="56DF0A43"/>
    <w:rsid w:val="56E86972"/>
    <w:rsid w:val="57030BD5"/>
    <w:rsid w:val="57234DD3"/>
    <w:rsid w:val="57351FB7"/>
    <w:rsid w:val="574A2360"/>
    <w:rsid w:val="57846999"/>
    <w:rsid w:val="57C77E54"/>
    <w:rsid w:val="57CE11E3"/>
    <w:rsid w:val="57E4161C"/>
    <w:rsid w:val="58032BC3"/>
    <w:rsid w:val="58112E7E"/>
    <w:rsid w:val="58201D67"/>
    <w:rsid w:val="58330B66"/>
    <w:rsid w:val="58461706"/>
    <w:rsid w:val="584777BD"/>
    <w:rsid w:val="58727DC0"/>
    <w:rsid w:val="58913FBE"/>
    <w:rsid w:val="589F66DB"/>
    <w:rsid w:val="58BD6B62"/>
    <w:rsid w:val="58E95BA9"/>
    <w:rsid w:val="58F06F37"/>
    <w:rsid w:val="59011144"/>
    <w:rsid w:val="59126EAD"/>
    <w:rsid w:val="5932754F"/>
    <w:rsid w:val="594C6863"/>
    <w:rsid w:val="594D171D"/>
    <w:rsid w:val="595019E8"/>
    <w:rsid w:val="59690E37"/>
    <w:rsid w:val="59C615CC"/>
    <w:rsid w:val="59C7707A"/>
    <w:rsid w:val="59D40607"/>
    <w:rsid w:val="59F03C82"/>
    <w:rsid w:val="5A0423FF"/>
    <w:rsid w:val="5A054AAB"/>
    <w:rsid w:val="5A15183E"/>
    <w:rsid w:val="5A4532B2"/>
    <w:rsid w:val="5A952381"/>
    <w:rsid w:val="5AAD08A9"/>
    <w:rsid w:val="5AAE0E58"/>
    <w:rsid w:val="5AFD5F2C"/>
    <w:rsid w:val="5B0B1E06"/>
    <w:rsid w:val="5B0F614B"/>
    <w:rsid w:val="5B1F58B2"/>
    <w:rsid w:val="5B28748B"/>
    <w:rsid w:val="5B70610D"/>
    <w:rsid w:val="5BC052E6"/>
    <w:rsid w:val="5BC30933"/>
    <w:rsid w:val="5BC50439"/>
    <w:rsid w:val="5C036C93"/>
    <w:rsid w:val="5C0F5926"/>
    <w:rsid w:val="5C403D31"/>
    <w:rsid w:val="5C4C26D6"/>
    <w:rsid w:val="5C8E2CEF"/>
    <w:rsid w:val="5CAE513F"/>
    <w:rsid w:val="5CC52489"/>
    <w:rsid w:val="5CCE758F"/>
    <w:rsid w:val="5CEB1A3B"/>
    <w:rsid w:val="5D2C340B"/>
    <w:rsid w:val="5D647EF4"/>
    <w:rsid w:val="5D79399F"/>
    <w:rsid w:val="5D794F45"/>
    <w:rsid w:val="5D815CBF"/>
    <w:rsid w:val="5D8F31C2"/>
    <w:rsid w:val="5D9C0459"/>
    <w:rsid w:val="5DA123B0"/>
    <w:rsid w:val="5DAB78D0"/>
    <w:rsid w:val="5DBA7B13"/>
    <w:rsid w:val="5DC82230"/>
    <w:rsid w:val="5E591A42"/>
    <w:rsid w:val="5E863B81"/>
    <w:rsid w:val="5EA93E10"/>
    <w:rsid w:val="5EAC56AE"/>
    <w:rsid w:val="5EB804F7"/>
    <w:rsid w:val="5EBD5B0D"/>
    <w:rsid w:val="5EC0115A"/>
    <w:rsid w:val="5F021772"/>
    <w:rsid w:val="5F180F96"/>
    <w:rsid w:val="5F3062DF"/>
    <w:rsid w:val="5F3F5CA2"/>
    <w:rsid w:val="5F473629"/>
    <w:rsid w:val="5F745B61"/>
    <w:rsid w:val="5F796DF2"/>
    <w:rsid w:val="5F802EF2"/>
    <w:rsid w:val="5F880D99"/>
    <w:rsid w:val="5FB94527"/>
    <w:rsid w:val="5FBC6FBB"/>
    <w:rsid w:val="5FC8476A"/>
    <w:rsid w:val="5FD22F7E"/>
    <w:rsid w:val="60237BF2"/>
    <w:rsid w:val="602476EB"/>
    <w:rsid w:val="60957A45"/>
    <w:rsid w:val="60C87C85"/>
    <w:rsid w:val="60D07D7A"/>
    <w:rsid w:val="60DE6858"/>
    <w:rsid w:val="61007F33"/>
    <w:rsid w:val="613025C6"/>
    <w:rsid w:val="61880654"/>
    <w:rsid w:val="61AB60F1"/>
    <w:rsid w:val="61B44BF7"/>
    <w:rsid w:val="61E10844"/>
    <w:rsid w:val="61E76E94"/>
    <w:rsid w:val="62285EF7"/>
    <w:rsid w:val="627A6F10"/>
    <w:rsid w:val="6288794F"/>
    <w:rsid w:val="629D3C8C"/>
    <w:rsid w:val="62AE40EB"/>
    <w:rsid w:val="639D6DA3"/>
    <w:rsid w:val="63C65464"/>
    <w:rsid w:val="63D936D2"/>
    <w:rsid w:val="63DF2E75"/>
    <w:rsid w:val="641B2D79"/>
    <w:rsid w:val="643A375C"/>
    <w:rsid w:val="64587C66"/>
    <w:rsid w:val="64611CD2"/>
    <w:rsid w:val="64634A61"/>
    <w:rsid w:val="646B7DB9"/>
    <w:rsid w:val="64713622"/>
    <w:rsid w:val="647C1FC7"/>
    <w:rsid w:val="647F6D8A"/>
    <w:rsid w:val="649317EA"/>
    <w:rsid w:val="64AD3F2E"/>
    <w:rsid w:val="64E262CE"/>
    <w:rsid w:val="64F658D5"/>
    <w:rsid w:val="65017B21"/>
    <w:rsid w:val="65167CF1"/>
    <w:rsid w:val="651E6BDA"/>
    <w:rsid w:val="653D52B2"/>
    <w:rsid w:val="654C7BEB"/>
    <w:rsid w:val="656057EA"/>
    <w:rsid w:val="659F5F6D"/>
    <w:rsid w:val="65A73073"/>
    <w:rsid w:val="65C46437"/>
    <w:rsid w:val="65D35C16"/>
    <w:rsid w:val="65DE7499"/>
    <w:rsid w:val="65F75DA9"/>
    <w:rsid w:val="661F70AE"/>
    <w:rsid w:val="663E5786"/>
    <w:rsid w:val="66703465"/>
    <w:rsid w:val="667967BE"/>
    <w:rsid w:val="667A42E4"/>
    <w:rsid w:val="66A23F66"/>
    <w:rsid w:val="66A55805"/>
    <w:rsid w:val="66B45A48"/>
    <w:rsid w:val="66B73214"/>
    <w:rsid w:val="66BC66AA"/>
    <w:rsid w:val="66BF3BF3"/>
    <w:rsid w:val="66C0363A"/>
    <w:rsid w:val="66F51BF3"/>
    <w:rsid w:val="66FD73EF"/>
    <w:rsid w:val="67136ED0"/>
    <w:rsid w:val="67582877"/>
    <w:rsid w:val="677377C8"/>
    <w:rsid w:val="677B6565"/>
    <w:rsid w:val="67A40284"/>
    <w:rsid w:val="67BB695A"/>
    <w:rsid w:val="67D53EC8"/>
    <w:rsid w:val="68057367"/>
    <w:rsid w:val="68101D28"/>
    <w:rsid w:val="68295FC1"/>
    <w:rsid w:val="683A5E27"/>
    <w:rsid w:val="68531C91"/>
    <w:rsid w:val="685E210F"/>
    <w:rsid w:val="68802085"/>
    <w:rsid w:val="6885769C"/>
    <w:rsid w:val="68B161D3"/>
    <w:rsid w:val="68B166E3"/>
    <w:rsid w:val="68BC6560"/>
    <w:rsid w:val="694070E4"/>
    <w:rsid w:val="695575A6"/>
    <w:rsid w:val="69937B96"/>
    <w:rsid w:val="69D81A4D"/>
    <w:rsid w:val="69E6236F"/>
    <w:rsid w:val="69FA542C"/>
    <w:rsid w:val="69FA7C16"/>
    <w:rsid w:val="69FF3DA6"/>
    <w:rsid w:val="6A130DDE"/>
    <w:rsid w:val="6A4E3ABD"/>
    <w:rsid w:val="6A4E61B3"/>
    <w:rsid w:val="6A852493"/>
    <w:rsid w:val="6AB778CB"/>
    <w:rsid w:val="6AD46F87"/>
    <w:rsid w:val="6AF208ED"/>
    <w:rsid w:val="6AF44665"/>
    <w:rsid w:val="6AF6662F"/>
    <w:rsid w:val="6B007B63"/>
    <w:rsid w:val="6B110DD4"/>
    <w:rsid w:val="6B231DE7"/>
    <w:rsid w:val="6B2C63FE"/>
    <w:rsid w:val="6B434318"/>
    <w:rsid w:val="6B685053"/>
    <w:rsid w:val="6B981494"/>
    <w:rsid w:val="6BA2244D"/>
    <w:rsid w:val="6BC24763"/>
    <w:rsid w:val="6BEA5A68"/>
    <w:rsid w:val="6BEC5C84"/>
    <w:rsid w:val="6C3C063E"/>
    <w:rsid w:val="6C4E249B"/>
    <w:rsid w:val="6C4E4249"/>
    <w:rsid w:val="6C506213"/>
    <w:rsid w:val="6C515AE7"/>
    <w:rsid w:val="6C5775A1"/>
    <w:rsid w:val="6C621DE3"/>
    <w:rsid w:val="6C7613D1"/>
    <w:rsid w:val="6CB21362"/>
    <w:rsid w:val="6CC00430"/>
    <w:rsid w:val="6CD81D64"/>
    <w:rsid w:val="6CDC1854"/>
    <w:rsid w:val="6CF546C4"/>
    <w:rsid w:val="6D0F39D8"/>
    <w:rsid w:val="6D196605"/>
    <w:rsid w:val="6D1C4347"/>
    <w:rsid w:val="6D2F407A"/>
    <w:rsid w:val="6D340BE2"/>
    <w:rsid w:val="6D3A657B"/>
    <w:rsid w:val="6D7B72BF"/>
    <w:rsid w:val="6DB30807"/>
    <w:rsid w:val="6DB77BCC"/>
    <w:rsid w:val="6DBB2AE7"/>
    <w:rsid w:val="6DC24EEE"/>
    <w:rsid w:val="6DD30EA9"/>
    <w:rsid w:val="6DD62748"/>
    <w:rsid w:val="6DE05374"/>
    <w:rsid w:val="6DE858E7"/>
    <w:rsid w:val="6E2B2A93"/>
    <w:rsid w:val="6E624EB0"/>
    <w:rsid w:val="6E647AFF"/>
    <w:rsid w:val="6E82642B"/>
    <w:rsid w:val="6E934195"/>
    <w:rsid w:val="6EB245D3"/>
    <w:rsid w:val="6EEB6642"/>
    <w:rsid w:val="6F573414"/>
    <w:rsid w:val="6F6049BF"/>
    <w:rsid w:val="6F7B5170"/>
    <w:rsid w:val="6F9208F0"/>
    <w:rsid w:val="6F9D48C5"/>
    <w:rsid w:val="6FBB39A3"/>
    <w:rsid w:val="6FCC5367"/>
    <w:rsid w:val="6FCC5BB0"/>
    <w:rsid w:val="6FCE7B7A"/>
    <w:rsid w:val="70253512"/>
    <w:rsid w:val="70732FD1"/>
    <w:rsid w:val="70C20D61"/>
    <w:rsid w:val="70C50D9A"/>
    <w:rsid w:val="70C745CA"/>
    <w:rsid w:val="70D71757"/>
    <w:rsid w:val="70ED4030"/>
    <w:rsid w:val="70FE23F0"/>
    <w:rsid w:val="71245578"/>
    <w:rsid w:val="715B4AB9"/>
    <w:rsid w:val="718112CF"/>
    <w:rsid w:val="71923D36"/>
    <w:rsid w:val="71A52B5D"/>
    <w:rsid w:val="71A768D5"/>
    <w:rsid w:val="71C32FE3"/>
    <w:rsid w:val="71C56D5B"/>
    <w:rsid w:val="71CA2A3B"/>
    <w:rsid w:val="71D04977"/>
    <w:rsid w:val="71E11276"/>
    <w:rsid w:val="71EE75D7"/>
    <w:rsid w:val="71F92C75"/>
    <w:rsid w:val="71FA7C7A"/>
    <w:rsid w:val="72111FA0"/>
    <w:rsid w:val="72136F9A"/>
    <w:rsid w:val="72141A90"/>
    <w:rsid w:val="72185209"/>
    <w:rsid w:val="721D44A4"/>
    <w:rsid w:val="722241AD"/>
    <w:rsid w:val="723C0EBC"/>
    <w:rsid w:val="724335ED"/>
    <w:rsid w:val="724F2AC9"/>
    <w:rsid w:val="72516841"/>
    <w:rsid w:val="725620A9"/>
    <w:rsid w:val="72600832"/>
    <w:rsid w:val="728E539F"/>
    <w:rsid w:val="72C07522"/>
    <w:rsid w:val="72D52FCE"/>
    <w:rsid w:val="72DF3E4C"/>
    <w:rsid w:val="72F13B80"/>
    <w:rsid w:val="72F47DCE"/>
    <w:rsid w:val="730E028E"/>
    <w:rsid w:val="7318735E"/>
    <w:rsid w:val="73217FC1"/>
    <w:rsid w:val="736C71E6"/>
    <w:rsid w:val="73817B10"/>
    <w:rsid w:val="73832A2A"/>
    <w:rsid w:val="738942AA"/>
    <w:rsid w:val="73957025"/>
    <w:rsid w:val="73B057E9"/>
    <w:rsid w:val="73B64A19"/>
    <w:rsid w:val="740F3D36"/>
    <w:rsid w:val="742D6E39"/>
    <w:rsid w:val="747C1FF1"/>
    <w:rsid w:val="74820F33"/>
    <w:rsid w:val="748A4B39"/>
    <w:rsid w:val="74BE7A92"/>
    <w:rsid w:val="74D7102F"/>
    <w:rsid w:val="74EE65C9"/>
    <w:rsid w:val="751A116C"/>
    <w:rsid w:val="75226272"/>
    <w:rsid w:val="754937FF"/>
    <w:rsid w:val="758053D8"/>
    <w:rsid w:val="75894543"/>
    <w:rsid w:val="75907680"/>
    <w:rsid w:val="75AC3A76"/>
    <w:rsid w:val="75AE44A4"/>
    <w:rsid w:val="76197675"/>
    <w:rsid w:val="76422779"/>
    <w:rsid w:val="764B64E0"/>
    <w:rsid w:val="764E03E7"/>
    <w:rsid w:val="76607052"/>
    <w:rsid w:val="76760624"/>
    <w:rsid w:val="76767CB6"/>
    <w:rsid w:val="7686160D"/>
    <w:rsid w:val="76BB4A6F"/>
    <w:rsid w:val="76BD18D0"/>
    <w:rsid w:val="76BD6253"/>
    <w:rsid w:val="76C43A85"/>
    <w:rsid w:val="771A36A5"/>
    <w:rsid w:val="771C72BD"/>
    <w:rsid w:val="774B1AB0"/>
    <w:rsid w:val="77580225"/>
    <w:rsid w:val="775A7F45"/>
    <w:rsid w:val="77664B3C"/>
    <w:rsid w:val="77844FC2"/>
    <w:rsid w:val="77DB1A01"/>
    <w:rsid w:val="77FE4D75"/>
    <w:rsid w:val="784826C8"/>
    <w:rsid w:val="78715547"/>
    <w:rsid w:val="78834BF5"/>
    <w:rsid w:val="788A6608"/>
    <w:rsid w:val="788C537E"/>
    <w:rsid w:val="788E24B4"/>
    <w:rsid w:val="78941235"/>
    <w:rsid w:val="78C064CE"/>
    <w:rsid w:val="78CF226D"/>
    <w:rsid w:val="78FA6F8F"/>
    <w:rsid w:val="7904051A"/>
    <w:rsid w:val="790F6B0E"/>
    <w:rsid w:val="793F0909"/>
    <w:rsid w:val="793F204B"/>
    <w:rsid w:val="79517126"/>
    <w:rsid w:val="797D7F1B"/>
    <w:rsid w:val="79BF22E2"/>
    <w:rsid w:val="79D25C5B"/>
    <w:rsid w:val="7A0F4092"/>
    <w:rsid w:val="7A124B07"/>
    <w:rsid w:val="7A130571"/>
    <w:rsid w:val="7A637111"/>
    <w:rsid w:val="7A9F7D20"/>
    <w:rsid w:val="7AAD1C06"/>
    <w:rsid w:val="7ABC4A73"/>
    <w:rsid w:val="7AD324E9"/>
    <w:rsid w:val="7AF61C21"/>
    <w:rsid w:val="7B3D0369"/>
    <w:rsid w:val="7B5A0763"/>
    <w:rsid w:val="7BA7127F"/>
    <w:rsid w:val="7BBD4F47"/>
    <w:rsid w:val="7BC25FBC"/>
    <w:rsid w:val="7BCD518A"/>
    <w:rsid w:val="7BD20DC7"/>
    <w:rsid w:val="7BEE3352"/>
    <w:rsid w:val="7C1F350C"/>
    <w:rsid w:val="7C294C28"/>
    <w:rsid w:val="7C415CC6"/>
    <w:rsid w:val="7C592B40"/>
    <w:rsid w:val="7C647170"/>
    <w:rsid w:val="7C7C095E"/>
    <w:rsid w:val="7CE16A13"/>
    <w:rsid w:val="7CEC5AE4"/>
    <w:rsid w:val="7D050953"/>
    <w:rsid w:val="7D053578"/>
    <w:rsid w:val="7D1943FF"/>
    <w:rsid w:val="7D254B52"/>
    <w:rsid w:val="7D340D59"/>
    <w:rsid w:val="7D3B25C7"/>
    <w:rsid w:val="7D52346D"/>
    <w:rsid w:val="7D5B0573"/>
    <w:rsid w:val="7D814B8A"/>
    <w:rsid w:val="7DA57A41"/>
    <w:rsid w:val="7DB008BF"/>
    <w:rsid w:val="7DC80174"/>
    <w:rsid w:val="7DC97BD3"/>
    <w:rsid w:val="7DE44A0D"/>
    <w:rsid w:val="7DE64F2B"/>
    <w:rsid w:val="7E0724A9"/>
    <w:rsid w:val="7E0B1F99"/>
    <w:rsid w:val="7E130E4E"/>
    <w:rsid w:val="7E2E5C88"/>
    <w:rsid w:val="7E966EB3"/>
    <w:rsid w:val="7EA106B0"/>
    <w:rsid w:val="7EF02F3D"/>
    <w:rsid w:val="7F1929FA"/>
    <w:rsid w:val="7F565CCF"/>
    <w:rsid w:val="7F567244"/>
    <w:rsid w:val="7F772CB8"/>
    <w:rsid w:val="7F864460"/>
    <w:rsid w:val="7F9935D5"/>
    <w:rsid w:val="7F9C0332"/>
    <w:rsid w:val="7F9D1317"/>
    <w:rsid w:val="7FD60385"/>
    <w:rsid w:val="7FDB599C"/>
    <w:rsid w:val="7FDF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qFormat/>
    <w:uiPriority w:val="0"/>
    <w:pPr>
      <w:widowControl w:val="0"/>
    </w:pPr>
    <w:rPr>
      <w:rFonts w:asciiTheme="minorHAnsi" w:hAnsiTheme="minorHAnsi" w:eastAsiaTheme="minorEastAsia" w:cstheme="minorBidi"/>
      <w:kern w:val="2"/>
      <w:sz w:val="21"/>
      <w:szCs w:val="24"/>
      <w:lang w:val="en-US" w:eastAsia="zh-CN"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annotation reference"/>
    <w:basedOn w:val="11"/>
    <w:qFormat/>
    <w:uiPriority w:val="0"/>
    <w:rPr>
      <w:sz w:val="21"/>
      <w:szCs w:val="21"/>
    </w:rPr>
  </w:style>
  <w:style w:type="paragraph" w:customStyle="1" w:styleId="13">
    <w:name w:val="p1"/>
    <w:qFormat/>
    <w:uiPriority w:val="0"/>
    <w:pPr>
      <w:widowControl w:val="0"/>
    </w:pPr>
    <w:rPr>
      <w:rFonts w:ascii="Helvetica Neue" w:hAnsi="Helvetica Neue" w:eastAsia="Helvetica Neue" w:cs="Times New Roman"/>
      <w:color w:val="000000"/>
      <w:sz w:val="32"/>
      <w:szCs w:val="32"/>
      <w:lang w:val="en-US" w:eastAsia="zh-CN" w:bidi="ar-SA"/>
    </w:rPr>
  </w:style>
  <w:style w:type="character" w:customStyle="1" w:styleId="14">
    <w:name w:val="s1"/>
    <w:qFormat/>
    <w:uiPriority w:val="0"/>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28558</Words>
  <Characters>29480</Characters>
  <Lines>958</Lines>
  <Paragraphs>733</Paragraphs>
  <TotalTime>23</TotalTime>
  <ScaleCrop>false</ScaleCrop>
  <LinksUpToDate>false</LinksUpToDate>
  <CharactersWithSpaces>29495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2026-05-08T11:38:00Z</dcterms:created>
  <dc:creator>USER</dc:creator>
  <cp:lastModifiedBy>USER</cp:lastModifiedBy>
  <dcterms:modified xsi:type="dcterms:W3CDTF">2026-05-20T03:46:39Z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eyJoZGlkIjoiMTM3ZGVlNjJiY2I1N2M2MmYxNTk0OTFmODcxZTI3ZGUiLCJ1c2VySWQiOiI2NTY5Njg0NjEifQ==</vt:lpwstr>
  </property>
  <property fmtid="{D5CDD505-2E9C-101B-9397-08002B2CF9AE}" pid="4" name="ICV">
    <vt:lpwstr>EC37388DE6344ED9A7A7B9808A4E04FA_13</vt:lpwstr>
  </property>
</Properties>
</file>