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0"/>
        <w:rPr>
          <w:rFonts w:ascii="宋体" w:hAnsi="宋体" w:eastAsia="宋体" w:cs="宋体"/>
          <w:b/>
          <w:bCs/>
          <w:color w:val="333333"/>
          <w:kern w:val="36"/>
          <w:sz w:val="48"/>
          <w:szCs w:val="48"/>
        </w:rPr>
      </w:pPr>
      <w:r>
        <w:rPr>
          <w:rFonts w:hint="eastAsia" w:ascii="宋体" w:hAnsi="宋体" w:eastAsia="宋体" w:cs="宋体"/>
          <w:b/>
          <w:bCs/>
          <w:color w:val="333333"/>
          <w:kern w:val="36"/>
          <w:sz w:val="48"/>
          <w:szCs w:val="48"/>
        </w:rPr>
        <w:t>政府采购项目采购需求（服务</w:t>
      </w:r>
      <w:r>
        <w:rPr>
          <w:rFonts w:ascii="宋体" w:hAnsi="宋体" w:eastAsia="宋体" w:cs="宋体"/>
          <w:b/>
          <w:bCs/>
          <w:color w:val="333333"/>
          <w:kern w:val="36"/>
          <w:sz w:val="48"/>
          <w:szCs w:val="48"/>
        </w:rPr>
        <w:t>类</w:t>
      </w:r>
      <w:r>
        <w:rPr>
          <w:rFonts w:hint="eastAsia" w:ascii="宋体" w:hAnsi="宋体" w:eastAsia="宋体" w:cs="宋体"/>
          <w:b/>
          <w:bCs/>
          <w:color w:val="333333"/>
          <w:kern w:val="36"/>
          <w:sz w:val="48"/>
          <w:szCs w:val="48"/>
        </w:rPr>
        <w:t>）</w:t>
      </w:r>
    </w:p>
    <w:p>
      <w:pPr>
        <w:widowControl/>
        <w:shd w:val="clear" w:color="auto" w:fill="FFFFFF"/>
        <w:spacing w:line="480" w:lineRule="auto"/>
        <w:jc w:val="right"/>
        <w:outlineLvl w:val="2"/>
        <w:rPr>
          <w:rFonts w:ascii="宋体" w:hAnsi="宋体" w:eastAsia="宋体" w:cs="宋体"/>
          <w:color w:val="333333"/>
          <w:kern w:val="0"/>
          <w:sz w:val="27"/>
          <w:szCs w:val="27"/>
        </w:rPr>
      </w:pPr>
    </w:p>
    <w:p>
      <w:pPr>
        <w:widowControl/>
        <w:shd w:val="clear" w:color="auto" w:fill="FFFFFF"/>
        <w:spacing w:line="480" w:lineRule="auto"/>
        <w:ind w:right="1080"/>
        <w:outlineLvl w:val="2"/>
        <w:rPr>
          <w:rFonts w:ascii="宋体" w:hAnsi="宋体" w:eastAsia="宋体" w:cs="宋体"/>
          <w:color w:val="FF0000"/>
          <w:kern w:val="0"/>
          <w:sz w:val="27"/>
          <w:szCs w:val="27"/>
        </w:rPr>
      </w:pPr>
      <w:r>
        <w:rPr>
          <w:rFonts w:hint="eastAsia" w:ascii="宋体" w:hAnsi="宋体" w:eastAsia="宋体" w:cs="宋体"/>
          <w:color w:val="FF0000"/>
          <w:kern w:val="0"/>
          <w:sz w:val="27"/>
          <w:szCs w:val="27"/>
        </w:rPr>
        <w:t>采购单位（盖章）：</w:t>
      </w: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FF0000"/>
          <w:kern w:val="0"/>
          <w:sz w:val="27"/>
          <w:szCs w:val="27"/>
        </w:rPr>
        <w:t>一、项目总体情况</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（一）项目名称：西华大学虚拟教研室项目 </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（二）项目所属年度： 2023年</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（三）项目所属分类：</w:t>
      </w:r>
      <w:r>
        <w:rPr>
          <w:rFonts w:hint="eastAsia" w:ascii="宋体" w:hAnsi="宋体" w:eastAsia="宋体" w:cs="宋体"/>
          <w:b/>
          <w:color w:val="333333"/>
          <w:kern w:val="0"/>
          <w:sz w:val="24"/>
          <w:szCs w:val="24"/>
        </w:rPr>
        <w:t>服务</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（四）预算金额（元）：拾柒万伍仟元 ，大写（人民币）： </w:t>
      </w:r>
    </w:p>
    <w:p>
      <w:pPr>
        <w:widowControl/>
        <w:shd w:val="clear" w:color="auto" w:fill="FFFFFF"/>
        <w:spacing w:line="480" w:lineRule="auto"/>
        <w:ind w:firstLine="1200"/>
        <w:rPr>
          <w:rFonts w:ascii="宋体" w:hAnsi="宋体" w:eastAsia="宋体" w:cs="宋体"/>
          <w:color w:val="333333"/>
          <w:kern w:val="0"/>
          <w:sz w:val="24"/>
          <w:szCs w:val="24"/>
        </w:rPr>
      </w:pPr>
      <w:r>
        <w:rPr>
          <w:rFonts w:hint="eastAsia" w:ascii="宋体" w:hAnsi="宋体" w:eastAsia="宋体" w:cs="宋体"/>
          <w:color w:val="333333"/>
          <w:kern w:val="0"/>
          <w:sz w:val="24"/>
          <w:szCs w:val="24"/>
        </w:rPr>
        <w:t>最高限价（元）：拾柒万伍仟</w:t>
      </w:r>
      <w:r>
        <w:rPr>
          <w:rFonts w:hint="eastAsia" w:ascii="宋体" w:hAnsi="宋体" w:eastAsia="宋体" w:cs="宋体"/>
          <w:kern w:val="0"/>
          <w:sz w:val="24"/>
          <w:szCs w:val="24"/>
        </w:rPr>
        <w:t>元</w:t>
      </w:r>
      <w:r>
        <w:rPr>
          <w:rFonts w:hint="eastAsia" w:ascii="宋体" w:hAnsi="宋体" w:eastAsia="宋体" w:cs="宋体"/>
          <w:color w:val="333333"/>
          <w:kern w:val="0"/>
          <w:sz w:val="24"/>
          <w:szCs w:val="24"/>
        </w:rPr>
        <w:t xml:space="preserve">， 大写（人民币）： </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（五）项目概况：</w:t>
      </w:r>
    </w:p>
    <w:p>
      <w:pPr>
        <w:pStyle w:val="61"/>
        <w:ind w:firstLine="480"/>
        <w:rPr>
          <w:rFonts w:ascii="宋体" w:hAnsi="宋体" w:eastAsia="宋体" w:cs="宋体"/>
          <w:color w:val="333333"/>
          <w:kern w:val="0"/>
        </w:rPr>
      </w:pPr>
      <w:r>
        <w:rPr>
          <w:rFonts w:hint="eastAsia" w:ascii="宋体" w:hAnsi="宋体" w:eastAsia="宋体" w:cs="宋体"/>
          <w:color w:val="333333"/>
          <w:kern w:val="0"/>
        </w:rPr>
        <w:t>2021年7月20日，教育部高等教育司发布了《关于开展虚拟教研室试点建设工作的通知》，探索推进新型基层教学组织建设，“智能+”“共享教育”“在线教育”“教育信息化”等一众新兴概念开始了对传统教育的广域渗透，教育司明确决定开展虚拟教研室试点建设工作。据悉，首批拟推荐400个左右虚拟教研室进行试点建设，探索“智能+”时代新型基层教学组织的建设标准、建设路径、运行模式等。</w:t>
      </w:r>
    </w:p>
    <w:p>
      <w:pPr>
        <w:pStyle w:val="61"/>
        <w:ind w:firstLine="480"/>
        <w:rPr>
          <w:rFonts w:ascii="宋体" w:hAnsi="宋体" w:eastAsia="宋体" w:cs="宋体"/>
          <w:color w:val="333333"/>
          <w:kern w:val="0"/>
        </w:rPr>
      </w:pPr>
      <w:r>
        <w:rPr>
          <w:rFonts w:hint="eastAsia" w:ascii="宋体" w:hAnsi="宋体" w:eastAsia="宋体" w:cs="宋体"/>
          <w:color w:val="333333"/>
          <w:kern w:val="0"/>
        </w:rPr>
        <w:t>在建设范围方面，虚拟教研室分为校内、区域性、全国性教研室。鼓励试点建设全国性、区域性虚拟教研室；在建设内容方面，虚拟教研室分为课程（群）教学类、专业建设类、教学研究改革专题类教研室等类型。通过3—5年的努力，将建成全国高等教育虚拟教研室信息平台，建设一批理念先进、覆盖全面、功能完备的虚拟教研室，锻造一批高水平教学团队，培育一批教学研究与实践成果，打造教师教学发展共同体和质量文化，全面提升教师教学能力。</w:t>
      </w:r>
    </w:p>
    <w:p>
      <w:pPr>
        <w:widowControl/>
        <w:shd w:val="clear" w:color="auto" w:fill="FFFFFF"/>
        <w:spacing w:line="360" w:lineRule="auto"/>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目前我校基层教学组织呈现年轻化、多样化和个性化的特征，对新技术、新模式有新需求；而且不同地域、不同层次、不同类型、不同学科专业教师对基层教学组织也有多元需求；教师需要了解自身优势、短板，实现持续改进，有获取教学资源、教学指导和教学发展机会的个性化需求。虚拟教研室的建设支持我校以课程（群）教学、专业建设、教学研究改革等为主题开展多元探索，契合教师基层教学组织的多样需求，锻造一批高水平教学团队。</w:t>
      </w:r>
    </w:p>
    <w:p>
      <w:pPr>
        <w:widowControl/>
        <w:shd w:val="clear" w:color="auto" w:fill="FFFFFF"/>
        <w:spacing w:line="480" w:lineRule="auto"/>
        <w:rPr>
          <w:rFonts w:ascii="宋体" w:hAnsi="宋体" w:eastAsia="宋体" w:cs="宋体"/>
          <w:color w:val="333333"/>
          <w:kern w:val="0"/>
          <w:sz w:val="24"/>
          <w:szCs w:val="24"/>
        </w:rPr>
      </w:pP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（六）本项目是否有为采购项目提供整体设计、规范编制或者项目管理、监理、检测等服务的供应商：□是（填以下信息）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 □否</w:t>
      </w:r>
    </w:p>
    <w:p>
      <w:pPr>
        <w:widowControl/>
        <w:shd w:val="clear" w:color="auto" w:fill="FFFFFF"/>
        <w:spacing w:line="480" w:lineRule="auto"/>
        <w:outlineLvl w:val="2"/>
        <w:rPr>
          <w:rFonts w:ascii="宋体" w:hAnsi="宋体" w:eastAsia="宋体" w:cs="宋体"/>
          <w:b/>
          <w:bCs/>
          <w:color w:val="FF0000"/>
          <w:kern w:val="0"/>
          <w:sz w:val="27"/>
          <w:szCs w:val="27"/>
        </w:rPr>
      </w:pPr>
      <w:r>
        <w:rPr>
          <w:rFonts w:hint="eastAsia" w:ascii="宋体" w:hAnsi="宋体" w:eastAsia="宋体" w:cs="宋体"/>
          <w:b/>
          <w:bCs/>
          <w:color w:val="FF0000"/>
          <w:kern w:val="0"/>
          <w:sz w:val="27"/>
          <w:szCs w:val="27"/>
        </w:rPr>
        <w:t>二、项目需求调查情况</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依据《政府采购需求管理办法》的规定，□本项目</w:t>
      </w:r>
      <w:r>
        <w:rPr>
          <w:rFonts w:hint="eastAsia" w:ascii="宋体" w:hAnsi="宋体" w:eastAsia="宋体" w:cs="宋体"/>
          <w:kern w:val="0"/>
          <w:sz w:val="24"/>
          <w:szCs w:val="24"/>
        </w:rPr>
        <w:t xml:space="preserve">需要（填以下信息）       </w:t>
      </w:r>
      <w:r>
        <w:rPr>
          <w:rFonts w:hint="eastAsia" w:ascii="宋体" w:hAnsi="宋体" w:eastAsia="宋体" w:cs="宋体"/>
          <w:color w:val="333333"/>
          <w:kern w:val="0"/>
          <w:sz w:val="24"/>
          <w:szCs w:val="24"/>
        </w:rPr>
        <w:sym w:font="Wingdings 2" w:char="0052"/>
      </w:r>
      <w:r>
        <w:rPr>
          <w:rFonts w:hint="eastAsia" w:ascii="宋体" w:hAnsi="宋体" w:eastAsia="宋体" w:cs="宋体"/>
          <w:kern w:val="0"/>
          <w:sz w:val="24"/>
          <w:szCs w:val="24"/>
        </w:rPr>
        <w:t>不需要  需求调</w:t>
      </w:r>
      <w:r>
        <w:rPr>
          <w:rFonts w:hint="eastAsia" w:ascii="宋体" w:hAnsi="宋体" w:eastAsia="宋体" w:cs="宋体"/>
          <w:color w:val="333333"/>
          <w:kern w:val="0"/>
          <w:sz w:val="24"/>
          <w:szCs w:val="24"/>
        </w:rPr>
        <w:t>查，具体情况如下：</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·本项目属于以下应当展开需求的情形</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000000"/>
          <w:kern w:val="0"/>
          <w:sz w:val="24"/>
          <w:szCs w:val="24"/>
        </w:rPr>
        <w:t xml:space="preserve"> 1000万元以上的货物、服务采购项目，3000万元以上的工程采购项目；</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涉及公共利益、社会关注度较高的采购项目，包括政府向社会公众提供的公共服务项目等；</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技术复杂、专业性较强的项目，包括需定制开发的信息化建设项目、采购进口产品的项目等；</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主管预算单位或者采购人认为需要开展需求调查的其他采购项目。</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·本项目属于以下可以不再重复开展需求调查的情形</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编制采购需求前一年内，采购人已就相关采购标的开展过需求调查的可以不再重复开展。</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按照法律法规的规定，对采购项目开展可行性研究等前期工作，已包含需求调查内容的，可以不再重复调查</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（一）需求调查方式:</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□咨询  □论证  □调查问卷</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（二）需求调查对象:</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（三）需求调查结果</w:t>
      </w: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三、项目采购实施计划</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（一）采购组织形式：□政府集中采购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□部门集中采购  ☑分散采购</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FF0000"/>
          <w:kern w:val="0"/>
          <w:sz w:val="24"/>
          <w:szCs w:val="24"/>
        </w:rPr>
        <w:t>（二）采购方式</w:t>
      </w:r>
      <w:r>
        <w:rPr>
          <w:rFonts w:ascii="宋体" w:hAnsi="宋体" w:eastAsia="宋体" w:cs="宋体"/>
          <w:color w:val="FF0000"/>
          <w:kern w:val="0"/>
          <w:sz w:val="24"/>
          <w:szCs w:val="24"/>
        </w:rPr>
        <w:t>：</w:t>
      </w:r>
      <w:r>
        <w:rPr>
          <w:rFonts w:hint="eastAsia" w:ascii="宋体" w:hAnsi="宋体" w:eastAsia="宋体" w:cs="宋体"/>
          <w:color w:val="333333"/>
          <w:kern w:val="0"/>
          <w:sz w:val="24"/>
          <w:szCs w:val="24"/>
        </w:rPr>
        <w:t>☑公开招标  □邀请</w:t>
      </w:r>
      <w:r>
        <w:rPr>
          <w:rFonts w:ascii="宋体" w:hAnsi="宋体" w:eastAsia="宋体" w:cs="宋体"/>
          <w:color w:val="333333"/>
          <w:kern w:val="0"/>
          <w:sz w:val="24"/>
          <w:szCs w:val="24"/>
        </w:rPr>
        <w:t>招标</w:t>
      </w:r>
      <w:r>
        <w:rPr>
          <w:rFonts w:hint="eastAsia" w:ascii="宋体" w:hAnsi="宋体" w:eastAsia="宋体" w:cs="宋体"/>
          <w:color w:val="333333"/>
          <w:kern w:val="0"/>
          <w:sz w:val="24"/>
          <w:szCs w:val="24"/>
        </w:rPr>
        <w:t xml:space="preserve">  □竞争性谈判  □询价     □单一来源  □竞争性</w:t>
      </w:r>
      <w:r>
        <w:rPr>
          <w:rFonts w:ascii="宋体" w:hAnsi="宋体" w:eastAsia="宋体" w:cs="宋体"/>
          <w:color w:val="333333"/>
          <w:kern w:val="0"/>
          <w:sz w:val="24"/>
          <w:szCs w:val="24"/>
        </w:rPr>
        <w:t>磋商</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（三）本项目是否单位自行组织采购：否</w:t>
      </w:r>
    </w:p>
    <w:p>
      <w:pPr>
        <w:widowControl/>
        <w:shd w:val="clear" w:color="auto" w:fill="FFFFFF"/>
        <w:spacing w:line="480" w:lineRule="auto"/>
        <w:ind w:firstLine="420"/>
        <w:rPr>
          <w:sz w:val="24"/>
        </w:rPr>
      </w:pPr>
      <w:r>
        <w:rPr>
          <w:rFonts w:hint="eastAsia" w:ascii="宋体" w:hAnsi="宋体" w:eastAsia="宋体" w:cs="宋体"/>
          <w:color w:val="333333"/>
          <w:kern w:val="0"/>
          <w:sz w:val="24"/>
          <w:szCs w:val="24"/>
        </w:rPr>
        <w:t>（四）采购包划分</w:t>
      </w:r>
      <w:r>
        <w:rPr>
          <w:rFonts w:hint="eastAsia"/>
        </w:rPr>
        <w:t>：</w:t>
      </w:r>
      <w:r>
        <w:rPr>
          <w:rFonts w:hint="eastAsia"/>
          <w:sz w:val="24"/>
        </w:rPr>
        <w:t>不分包采购</w:t>
      </w:r>
    </w:p>
    <w:p>
      <w:pPr>
        <w:widowControl/>
        <w:shd w:val="clear" w:color="auto" w:fill="FFFFFF"/>
        <w:spacing w:line="480" w:lineRule="auto"/>
        <w:ind w:firstLine="420"/>
        <w:rPr>
          <w:color w:val="FF0000"/>
          <w:sz w:val="24"/>
        </w:rPr>
      </w:pPr>
      <w:r>
        <w:rPr>
          <w:rFonts w:hint="eastAsia"/>
          <w:color w:val="FF0000"/>
          <w:sz w:val="24"/>
        </w:rPr>
        <w:t>包</w:t>
      </w:r>
      <w:r>
        <w:rPr>
          <w:color w:val="FF0000"/>
          <w:sz w:val="24"/>
        </w:rPr>
        <w:t>名称：</w:t>
      </w:r>
      <w:r>
        <w:rPr>
          <w:rFonts w:hint="eastAsia"/>
          <w:color w:val="FF0000"/>
          <w:sz w:val="24"/>
        </w:rPr>
        <w:t xml:space="preserve">    </w:t>
      </w:r>
      <w:r>
        <w:rPr>
          <w:color w:val="FF0000"/>
          <w:sz w:val="24"/>
        </w:rPr>
        <w:t xml:space="preserve">       </w:t>
      </w:r>
      <w:r>
        <w:rPr>
          <w:rFonts w:hint="eastAsia"/>
          <w:color w:val="FF0000"/>
          <w:sz w:val="24"/>
        </w:rPr>
        <w:t xml:space="preserve">  </w:t>
      </w:r>
      <w:r>
        <w:rPr>
          <w:color w:val="FF0000"/>
          <w:sz w:val="24"/>
        </w:rPr>
        <w:t xml:space="preserve">  </w:t>
      </w:r>
      <w:r>
        <w:rPr>
          <w:rFonts w:hint="eastAsia"/>
          <w:color w:val="FF0000"/>
          <w:sz w:val="24"/>
        </w:rPr>
        <w:t>最高</w:t>
      </w:r>
      <w:r>
        <w:rPr>
          <w:color w:val="FF0000"/>
          <w:sz w:val="24"/>
        </w:rPr>
        <w:t>限价</w:t>
      </w:r>
      <w:r>
        <w:rPr>
          <w:rFonts w:hint="eastAsia"/>
          <w:color w:val="FF0000"/>
          <w:sz w:val="24"/>
        </w:rPr>
        <w:t>（元）</w:t>
      </w:r>
      <w:r>
        <w:rPr>
          <w:color w:val="FF0000"/>
          <w:sz w:val="24"/>
        </w:rPr>
        <w:t>：</w:t>
      </w:r>
      <w:r>
        <w:rPr>
          <w:rFonts w:hint="eastAsia"/>
          <w:color w:val="FF0000"/>
          <w:sz w:val="24"/>
        </w:rPr>
        <w:t xml:space="preserve">17.5万元     </w:t>
      </w:r>
    </w:p>
    <w:p>
      <w:pPr>
        <w:widowControl/>
        <w:shd w:val="clear" w:color="auto" w:fill="FFFFFF"/>
        <w:spacing w:line="480" w:lineRule="auto"/>
        <w:ind w:firstLine="420"/>
        <w:rPr>
          <w:sz w:val="24"/>
        </w:rPr>
      </w:pPr>
      <w:r>
        <w:rPr>
          <w:rFonts w:hint="eastAsia"/>
          <w:color w:val="FF0000"/>
          <w:sz w:val="24"/>
        </w:rPr>
        <w:t>定价方式：</w:t>
      </w:r>
      <w:r>
        <w:rPr>
          <w:rFonts w:hint="eastAsia" w:ascii="宋体" w:hAnsi="宋体" w:eastAsia="宋体" w:cs="宋体"/>
          <w:color w:val="333333"/>
          <w:kern w:val="0"/>
          <w:sz w:val="24"/>
          <w:szCs w:val="24"/>
        </w:rPr>
        <w:t>□</w:t>
      </w:r>
      <w:r>
        <w:rPr>
          <w:rFonts w:hint="eastAsia"/>
          <w:sz w:val="24"/>
        </w:rPr>
        <w:t xml:space="preserve">固定总价 </w:t>
      </w:r>
      <w:r>
        <w:rPr>
          <w:sz w:val="24"/>
        </w:rPr>
        <w:t xml:space="preserve"> </w:t>
      </w:r>
      <w:r>
        <w:rPr>
          <w:rFonts w:hint="eastAsia"/>
          <w:sz w:val="24"/>
        </w:rPr>
        <w:t xml:space="preserve"> </w:t>
      </w:r>
      <w:r>
        <w:rPr>
          <w:rFonts w:hint="eastAsia" w:ascii="宋体" w:hAnsi="宋体" w:eastAsia="宋体" w:cs="宋体"/>
          <w:color w:val="333333"/>
          <w:kern w:val="0"/>
          <w:sz w:val="24"/>
          <w:szCs w:val="24"/>
        </w:rPr>
        <w:t>□</w:t>
      </w:r>
      <w:r>
        <w:rPr>
          <w:rFonts w:hint="eastAsia"/>
          <w:sz w:val="24"/>
        </w:rPr>
        <w:t xml:space="preserve">固定单价 </w:t>
      </w:r>
      <w:r>
        <w:rPr>
          <w:sz w:val="24"/>
        </w:rPr>
        <w:t xml:space="preserve"> </w:t>
      </w:r>
      <w:r>
        <w:rPr>
          <w:rFonts w:hint="eastAsia"/>
          <w:sz w:val="24"/>
        </w:rPr>
        <w:t xml:space="preserve"> </w:t>
      </w:r>
      <w:r>
        <w:rPr>
          <w:rFonts w:hint="eastAsia" w:ascii="宋体" w:hAnsi="宋体" w:eastAsia="宋体" w:cs="宋体"/>
          <w:color w:val="333333"/>
          <w:kern w:val="0"/>
          <w:sz w:val="24"/>
          <w:szCs w:val="24"/>
        </w:rPr>
        <w:t>□</w:t>
      </w:r>
      <w:r>
        <w:rPr>
          <w:rFonts w:hint="eastAsia"/>
          <w:sz w:val="24"/>
        </w:rPr>
        <w:t>其他（</w:t>
      </w:r>
      <w:r>
        <w:rPr>
          <w:sz w:val="24"/>
        </w:rPr>
        <w:t>定价方式名称：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widowControl/>
        <w:shd w:val="clear" w:color="auto" w:fill="FFFFFF"/>
        <w:spacing w:line="480" w:lineRule="auto"/>
        <w:ind w:firstLine="420"/>
        <w:rPr>
          <w:sz w:val="24"/>
        </w:rPr>
      </w:pPr>
      <w:r>
        <w:rPr>
          <w:rFonts w:hint="eastAsia"/>
          <w:sz w:val="24"/>
        </w:rPr>
        <w:t>品目信息一</w:t>
      </w:r>
    </w:p>
    <w:p>
      <w:pPr>
        <w:widowControl/>
        <w:shd w:val="clear" w:color="auto" w:fill="FFFFFF"/>
        <w:spacing w:line="480" w:lineRule="auto"/>
        <w:ind w:firstLine="420"/>
        <w:rPr>
          <w:color w:val="FF0000"/>
          <w:sz w:val="24"/>
        </w:rPr>
      </w:pPr>
      <w:r>
        <w:rPr>
          <w:rFonts w:hint="eastAsia"/>
          <w:color w:val="FF0000"/>
          <w:sz w:val="24"/>
        </w:rPr>
        <w:t xml:space="preserve">标的名称：     </w:t>
      </w:r>
      <w:r>
        <w:rPr>
          <w:color w:val="FF0000"/>
          <w:sz w:val="24"/>
        </w:rPr>
        <w:t xml:space="preserve">        </w:t>
      </w:r>
      <w:r>
        <w:rPr>
          <w:rFonts w:hint="eastAsia"/>
          <w:color w:val="FF0000"/>
          <w:sz w:val="24"/>
        </w:rPr>
        <w:t xml:space="preserve">   计量单位</w:t>
      </w:r>
      <w:r>
        <w:rPr>
          <w:color w:val="FF0000"/>
          <w:sz w:val="24"/>
        </w:rPr>
        <w:t>：</w:t>
      </w:r>
      <w:r>
        <w:rPr>
          <w:rFonts w:hint="eastAsia"/>
          <w:color w:val="FF0000"/>
          <w:sz w:val="24"/>
        </w:rPr>
        <w:t xml:space="preserve"> </w:t>
      </w:r>
      <w:r>
        <w:rPr>
          <w:color w:val="FF0000"/>
          <w:sz w:val="24"/>
        </w:rPr>
        <w:t xml:space="preserve">     </w:t>
      </w:r>
      <w:r>
        <w:rPr>
          <w:rFonts w:hint="eastAsia"/>
          <w:color w:val="FF0000"/>
          <w:sz w:val="24"/>
        </w:rPr>
        <w:t>数量</w:t>
      </w:r>
      <w:r>
        <w:rPr>
          <w:color w:val="FF0000"/>
          <w:sz w:val="24"/>
        </w:rPr>
        <w:t>：</w:t>
      </w:r>
    </w:p>
    <w:p>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Pr>
          <w:rFonts w:hint="eastAsia"/>
          <w:color w:val="FF0000"/>
          <w:sz w:val="24"/>
        </w:rPr>
        <w:t xml:space="preserve">   </w:t>
      </w:r>
      <w:r>
        <w:rPr>
          <w:color w:val="FF0000"/>
          <w:sz w:val="24"/>
        </w:rPr>
        <w:t xml:space="preserve">           </w:t>
      </w:r>
      <w:r>
        <w:rPr>
          <w:rFonts w:hint="eastAsia"/>
          <w:color w:val="FF0000"/>
          <w:sz w:val="24"/>
        </w:rPr>
        <w:t>该品目预算(元)：</w:t>
      </w:r>
    </w:p>
    <w:p>
      <w:pPr>
        <w:widowControl/>
        <w:shd w:val="clear" w:color="auto" w:fill="FFFFFF"/>
        <w:spacing w:line="480" w:lineRule="auto"/>
        <w:ind w:firstLine="420"/>
        <w:rPr>
          <w:sz w:val="24"/>
        </w:rPr>
      </w:pPr>
      <w:r>
        <w:rPr>
          <w:rFonts w:hint="eastAsia"/>
          <w:sz w:val="24"/>
        </w:rPr>
        <w:t>所属</w:t>
      </w:r>
      <w:r>
        <w:rPr>
          <w:sz w:val="24"/>
        </w:rPr>
        <w:t>行业：</w:t>
      </w:r>
      <w:r>
        <w:rPr>
          <w:rFonts w:hint="eastAsia" w:ascii="宋体" w:hAnsi="宋体" w:eastAsia="宋体" w:cs="宋体"/>
          <w:color w:val="333333"/>
          <w:kern w:val="0"/>
          <w:sz w:val="24"/>
          <w:szCs w:val="24"/>
        </w:rPr>
        <w:t>□</w:t>
      </w:r>
      <w:r>
        <w:rPr>
          <w:rFonts w:hint="eastAsia"/>
          <w:sz w:val="24"/>
        </w:rPr>
        <w:t>农、林、牧、渔业　　</w:t>
      </w:r>
      <w:r>
        <w:rPr>
          <w:rFonts w:hint="eastAsia" w:ascii="宋体" w:hAnsi="宋体" w:eastAsia="宋体" w:cs="宋体"/>
          <w:color w:val="333333"/>
          <w:kern w:val="0"/>
          <w:sz w:val="24"/>
          <w:szCs w:val="24"/>
        </w:rPr>
        <w:t>□</w:t>
      </w:r>
      <w:r>
        <w:rPr>
          <w:rFonts w:hint="eastAsia"/>
          <w:sz w:val="24"/>
        </w:rPr>
        <w:t xml:space="preserve">工业   </w:t>
      </w:r>
      <w:r>
        <w:rPr>
          <w:rFonts w:hint="eastAsia" w:ascii="宋体" w:hAnsi="宋体" w:eastAsia="宋体" w:cs="宋体"/>
          <w:color w:val="333333"/>
          <w:kern w:val="0"/>
          <w:sz w:val="24"/>
          <w:szCs w:val="24"/>
        </w:rPr>
        <w:t>□</w:t>
      </w:r>
      <w:r>
        <w:rPr>
          <w:rFonts w:hint="eastAsia"/>
          <w:sz w:val="24"/>
        </w:rPr>
        <w:t xml:space="preserve">建筑业  </w:t>
      </w:r>
      <w:r>
        <w:rPr>
          <w:rFonts w:hint="eastAsia" w:ascii="宋体" w:hAnsi="宋体" w:eastAsia="宋体" w:cs="宋体"/>
          <w:color w:val="333333"/>
          <w:kern w:val="0"/>
          <w:sz w:val="24"/>
          <w:szCs w:val="24"/>
        </w:rPr>
        <w:t>□</w:t>
      </w:r>
      <w:r>
        <w:rPr>
          <w:rFonts w:hint="eastAsia"/>
          <w:sz w:val="24"/>
        </w:rPr>
        <w:t xml:space="preserve">批发业  </w:t>
      </w:r>
      <w:r>
        <w:rPr>
          <w:rFonts w:hint="eastAsia" w:ascii="宋体" w:hAnsi="宋体" w:eastAsia="宋体" w:cs="宋体"/>
          <w:color w:val="333333"/>
          <w:kern w:val="0"/>
          <w:sz w:val="24"/>
          <w:szCs w:val="24"/>
        </w:rPr>
        <w:t>□</w:t>
      </w:r>
      <w:r>
        <w:rPr>
          <w:rFonts w:hint="eastAsia"/>
          <w:sz w:val="24"/>
        </w:rPr>
        <w:t xml:space="preserve">零售业  </w:t>
      </w:r>
      <w:r>
        <w:rPr>
          <w:rFonts w:hint="eastAsia" w:ascii="宋体" w:hAnsi="宋体" w:eastAsia="宋体" w:cs="宋体"/>
          <w:color w:val="333333"/>
          <w:kern w:val="0"/>
          <w:sz w:val="24"/>
          <w:szCs w:val="24"/>
        </w:rPr>
        <w:t>□</w:t>
      </w:r>
      <w:r>
        <w:rPr>
          <w:rFonts w:hint="eastAsia"/>
          <w:sz w:val="24"/>
        </w:rPr>
        <w:t xml:space="preserve">交通运输业  </w:t>
      </w:r>
      <w:r>
        <w:rPr>
          <w:rFonts w:hint="eastAsia" w:ascii="宋体" w:hAnsi="宋体" w:eastAsia="宋体" w:cs="宋体"/>
          <w:color w:val="333333"/>
          <w:kern w:val="0"/>
          <w:sz w:val="24"/>
          <w:szCs w:val="24"/>
        </w:rPr>
        <w:t>□</w:t>
      </w:r>
      <w:r>
        <w:rPr>
          <w:rFonts w:hint="eastAsia"/>
          <w:sz w:val="24"/>
        </w:rPr>
        <w:t xml:space="preserve">仓储业  </w:t>
      </w:r>
      <w:r>
        <w:rPr>
          <w:rFonts w:hint="eastAsia" w:ascii="宋体" w:hAnsi="宋体" w:eastAsia="宋体" w:cs="宋体"/>
          <w:color w:val="333333"/>
          <w:kern w:val="0"/>
          <w:sz w:val="24"/>
          <w:szCs w:val="24"/>
        </w:rPr>
        <w:t>□</w:t>
      </w:r>
      <w:r>
        <w:rPr>
          <w:rFonts w:hint="eastAsia"/>
          <w:sz w:val="24"/>
        </w:rPr>
        <w:t xml:space="preserve">邮政业  </w:t>
      </w:r>
      <w:r>
        <w:rPr>
          <w:rFonts w:hint="eastAsia" w:ascii="宋体" w:hAnsi="宋体" w:eastAsia="宋体" w:cs="宋体"/>
          <w:color w:val="333333"/>
          <w:kern w:val="0"/>
          <w:sz w:val="24"/>
          <w:szCs w:val="24"/>
        </w:rPr>
        <w:t>□</w:t>
      </w:r>
      <w:r>
        <w:rPr>
          <w:rFonts w:hint="eastAsia"/>
          <w:sz w:val="24"/>
        </w:rPr>
        <w:t xml:space="preserve">住宿业  </w:t>
      </w:r>
      <w:r>
        <w:rPr>
          <w:rFonts w:hint="eastAsia" w:ascii="宋体" w:hAnsi="宋体" w:eastAsia="宋体" w:cs="宋体"/>
          <w:color w:val="333333"/>
          <w:kern w:val="0"/>
          <w:sz w:val="24"/>
          <w:szCs w:val="24"/>
        </w:rPr>
        <w:t>□</w:t>
      </w:r>
      <w:r>
        <w:rPr>
          <w:rFonts w:hint="eastAsia"/>
          <w:sz w:val="24"/>
        </w:rPr>
        <w:t xml:space="preserve">餐饮业  </w:t>
      </w:r>
      <w:r>
        <w:rPr>
          <w:rFonts w:hint="eastAsia" w:ascii="宋体" w:hAnsi="宋体" w:eastAsia="宋体" w:cs="宋体"/>
          <w:color w:val="333333"/>
          <w:kern w:val="0"/>
          <w:sz w:val="24"/>
          <w:szCs w:val="24"/>
        </w:rPr>
        <w:t>□</w:t>
      </w:r>
      <w:r>
        <w:rPr>
          <w:rFonts w:hint="eastAsia"/>
          <w:sz w:val="24"/>
        </w:rPr>
        <w:t xml:space="preserve">信息传输业  </w:t>
      </w:r>
      <w:r>
        <w:rPr>
          <w:rFonts w:hint="eastAsia" w:ascii="宋体" w:hAnsi="宋体" w:eastAsia="宋体" w:cs="宋体"/>
          <w:color w:val="333333"/>
          <w:kern w:val="0"/>
          <w:sz w:val="24"/>
          <w:szCs w:val="24"/>
        </w:rPr>
        <w:t>☑</w:t>
      </w:r>
      <w:r>
        <w:rPr>
          <w:rFonts w:hint="eastAsia"/>
          <w:sz w:val="24"/>
        </w:rPr>
        <w:t xml:space="preserve">软件和信息技术服务业  </w:t>
      </w:r>
      <w:r>
        <w:rPr>
          <w:rFonts w:hint="eastAsia" w:ascii="宋体" w:hAnsi="宋体" w:eastAsia="宋体" w:cs="宋体"/>
          <w:color w:val="333333"/>
          <w:kern w:val="0"/>
          <w:sz w:val="24"/>
          <w:szCs w:val="24"/>
        </w:rPr>
        <w:t>□</w:t>
      </w:r>
      <w:r>
        <w:rPr>
          <w:rFonts w:hint="eastAsia"/>
          <w:sz w:val="24"/>
        </w:rPr>
        <w:t xml:space="preserve">房地产开发经营  </w:t>
      </w:r>
      <w:r>
        <w:rPr>
          <w:rFonts w:hint="eastAsia" w:ascii="宋体" w:hAnsi="宋体" w:eastAsia="宋体" w:cs="宋体"/>
          <w:color w:val="333333"/>
          <w:kern w:val="0"/>
          <w:sz w:val="24"/>
          <w:szCs w:val="24"/>
        </w:rPr>
        <w:t>□</w:t>
      </w:r>
      <w:r>
        <w:rPr>
          <w:rFonts w:hint="eastAsia"/>
          <w:sz w:val="24"/>
        </w:rPr>
        <w:t xml:space="preserve">物业管理  </w:t>
      </w:r>
      <w:r>
        <w:rPr>
          <w:rFonts w:hint="eastAsia" w:ascii="宋体" w:hAnsi="宋体" w:eastAsia="宋体" w:cs="宋体"/>
          <w:color w:val="333333"/>
          <w:kern w:val="0"/>
          <w:sz w:val="24"/>
          <w:szCs w:val="24"/>
        </w:rPr>
        <w:t>□</w:t>
      </w:r>
      <w:r>
        <w:rPr>
          <w:rFonts w:hint="eastAsia"/>
          <w:sz w:val="24"/>
        </w:rPr>
        <w:t xml:space="preserve">租赁和商务服务业  </w:t>
      </w:r>
      <w:r>
        <w:rPr>
          <w:rFonts w:hint="eastAsia" w:ascii="宋体" w:hAnsi="宋体" w:eastAsia="宋体" w:cs="宋体"/>
          <w:color w:val="333333"/>
          <w:kern w:val="0"/>
          <w:sz w:val="24"/>
          <w:szCs w:val="24"/>
        </w:rPr>
        <w:t>□</w:t>
      </w:r>
      <w:r>
        <w:rPr>
          <w:rFonts w:hint="eastAsia"/>
          <w:sz w:val="24"/>
        </w:rPr>
        <w:t>其他未列明行业</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sz w:val="24"/>
        </w:rPr>
        <w:t>节能</w:t>
      </w:r>
      <w:r>
        <w:rPr>
          <w:sz w:val="24"/>
        </w:rPr>
        <w:t>：</w:t>
      </w:r>
      <w:r>
        <w:rPr>
          <w:rFonts w:hint="eastAsia" w:ascii="宋体" w:hAnsi="宋体" w:eastAsia="宋体" w:cs="宋体"/>
          <w:color w:val="333333"/>
          <w:kern w:val="0"/>
          <w:sz w:val="24"/>
          <w:szCs w:val="24"/>
        </w:rPr>
        <w:t xml:space="preserve">□是   □否            </w:t>
      </w:r>
      <w:r>
        <w:rPr>
          <w:rFonts w:hint="eastAsia"/>
          <w:sz w:val="24"/>
        </w:rPr>
        <w:t>环保</w:t>
      </w:r>
      <w:r>
        <w:rPr>
          <w:sz w:val="24"/>
        </w:rPr>
        <w:t>：</w:t>
      </w:r>
      <w:r>
        <w:rPr>
          <w:rFonts w:hint="eastAsia" w:ascii="宋体" w:hAnsi="宋体" w:eastAsia="宋体" w:cs="宋体"/>
          <w:color w:val="333333"/>
          <w:kern w:val="0"/>
          <w:sz w:val="24"/>
          <w:szCs w:val="24"/>
        </w:rPr>
        <w:t>□是   □否</w:t>
      </w:r>
    </w:p>
    <w:p>
      <w:pPr>
        <w:widowControl/>
        <w:shd w:val="clear" w:color="auto" w:fill="FFFFFF"/>
        <w:spacing w:line="480" w:lineRule="auto"/>
        <w:ind w:firstLine="420"/>
        <w:rPr>
          <w:rFonts w:ascii="宋体" w:hAnsi="宋体" w:eastAsia="宋体" w:cs="宋体"/>
          <w:color w:val="FF0000"/>
          <w:kern w:val="0"/>
          <w:sz w:val="24"/>
          <w:szCs w:val="24"/>
        </w:rPr>
      </w:pPr>
      <w:r>
        <w:rPr>
          <w:rFonts w:hint="eastAsia" w:ascii="宋体" w:hAnsi="宋体" w:eastAsia="宋体" w:cs="宋体"/>
          <w:color w:val="FF0000"/>
          <w:kern w:val="0"/>
          <w:sz w:val="24"/>
          <w:szCs w:val="24"/>
        </w:rPr>
        <w:t>功能和质量要求 ：</w:t>
      </w:r>
    </w:p>
    <w:tbl>
      <w:tblPr>
        <w:tblStyle w:val="16"/>
        <w:tblW w:w="922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2292"/>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Merge w:val="restart"/>
            <w:vAlign w:val="center"/>
          </w:tcPr>
          <w:p>
            <w:pPr>
              <w:widowControl/>
              <w:shd w:val="clear" w:color="auto" w:fill="FFFFFF"/>
              <w:spacing w:line="480" w:lineRule="auto"/>
              <w:rPr>
                <w:szCs w:val="20"/>
              </w:rPr>
            </w:pPr>
            <w:r>
              <w:rPr>
                <w:rFonts w:hint="eastAsia"/>
                <w:szCs w:val="20"/>
              </w:rPr>
              <w:t>虚拟教研室</w:t>
            </w:r>
          </w:p>
        </w:tc>
        <w:tc>
          <w:tcPr>
            <w:tcW w:w="2292" w:type="dxa"/>
            <w:vAlign w:val="center"/>
          </w:tcPr>
          <w:p>
            <w:pPr>
              <w:widowControl/>
              <w:shd w:val="clear" w:color="auto" w:fill="FFFFFF"/>
              <w:spacing w:line="480" w:lineRule="auto"/>
              <w:rPr>
                <w:szCs w:val="20"/>
              </w:rPr>
            </w:pPr>
            <w:r>
              <w:rPr>
                <w:rFonts w:hint="eastAsia"/>
                <w:szCs w:val="20"/>
              </w:rPr>
              <w:t>教研室介绍</w:t>
            </w:r>
          </w:p>
        </w:tc>
        <w:tc>
          <w:tcPr>
            <w:tcW w:w="5580" w:type="dxa"/>
            <w:vAlign w:val="center"/>
          </w:tcPr>
          <w:p>
            <w:pPr>
              <w:widowControl/>
              <w:shd w:val="clear" w:color="auto" w:fill="FFFFFF"/>
              <w:spacing w:line="480" w:lineRule="auto"/>
              <w:rPr>
                <w:szCs w:val="20"/>
              </w:rPr>
            </w:pPr>
            <w:r>
              <w:rPr>
                <w:rFonts w:hint="eastAsia"/>
                <w:szCs w:val="20"/>
              </w:rPr>
              <w:t>教研室介绍：教研室整体文本、图片、视频信息类展示。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Merge w:val="continue"/>
            <w:vAlign w:val="center"/>
          </w:tcPr>
          <w:p>
            <w:pPr>
              <w:widowControl/>
              <w:shd w:val="clear" w:color="auto" w:fill="FFFFFF"/>
              <w:spacing w:line="480" w:lineRule="auto"/>
              <w:ind w:firstLine="420"/>
              <w:rPr>
                <w:szCs w:val="20"/>
              </w:rPr>
            </w:pPr>
          </w:p>
        </w:tc>
        <w:tc>
          <w:tcPr>
            <w:tcW w:w="2292" w:type="dxa"/>
            <w:vAlign w:val="center"/>
          </w:tcPr>
          <w:p>
            <w:pPr>
              <w:widowControl/>
              <w:shd w:val="clear" w:color="auto" w:fill="FFFFFF"/>
              <w:spacing w:line="480" w:lineRule="auto"/>
              <w:rPr>
                <w:szCs w:val="20"/>
              </w:rPr>
            </w:pPr>
            <w:r>
              <w:rPr>
                <w:rFonts w:hint="eastAsia"/>
                <w:szCs w:val="20"/>
              </w:rPr>
              <w:t>教研室学习资料</w:t>
            </w:r>
          </w:p>
        </w:tc>
        <w:tc>
          <w:tcPr>
            <w:tcW w:w="5580" w:type="dxa"/>
            <w:vAlign w:val="center"/>
          </w:tcPr>
          <w:p>
            <w:pPr>
              <w:widowControl/>
              <w:shd w:val="clear" w:color="auto" w:fill="FFFFFF"/>
              <w:spacing w:line="480" w:lineRule="auto"/>
              <w:rPr>
                <w:szCs w:val="20"/>
              </w:rPr>
            </w:pPr>
            <w:r>
              <w:rPr>
                <w:rFonts w:hint="eastAsia"/>
                <w:szCs w:val="20"/>
              </w:rPr>
              <w:t>学习资源：不同课程分类下的多门课程资源可供教师学习；</w:t>
            </w:r>
          </w:p>
          <w:p>
            <w:pPr>
              <w:widowControl/>
              <w:shd w:val="clear" w:color="auto" w:fill="FFFFFF"/>
              <w:spacing w:line="480" w:lineRule="auto"/>
              <w:rPr>
                <w:szCs w:val="20"/>
              </w:rPr>
            </w:pPr>
            <w:r>
              <w:rPr>
                <w:rFonts w:hint="eastAsia"/>
                <w:szCs w:val="20"/>
              </w:rPr>
              <w:t>学习空间：课程学习进度，已完成学时统计，任务点进度及退课，并可点击进入课程随时进行学课；</w:t>
            </w:r>
          </w:p>
          <w:p>
            <w:pPr>
              <w:widowControl/>
              <w:shd w:val="clear" w:color="auto" w:fill="FFFFFF"/>
              <w:spacing w:line="480" w:lineRule="auto"/>
              <w:rPr>
                <w:szCs w:val="20"/>
              </w:rPr>
            </w:pPr>
            <w:r>
              <w:rPr>
                <w:rFonts w:hint="eastAsia"/>
                <w:szCs w:val="20"/>
              </w:rPr>
              <w:t>学习记录：</w:t>
            </w:r>
          </w:p>
          <w:p>
            <w:pPr>
              <w:widowControl/>
              <w:shd w:val="clear" w:color="auto" w:fill="FFFFFF"/>
              <w:spacing w:line="480" w:lineRule="auto"/>
              <w:rPr>
                <w:szCs w:val="20"/>
              </w:rPr>
            </w:pPr>
            <w:r>
              <w:rPr>
                <w:rFonts w:hint="eastAsia"/>
                <w:szCs w:val="20"/>
              </w:rPr>
              <w:t>1.成长轨迹：时间轴的展示方式，教师可自定义成长标题、时间、备注；</w:t>
            </w:r>
          </w:p>
          <w:p>
            <w:pPr>
              <w:widowControl/>
              <w:shd w:val="clear" w:color="auto" w:fill="FFFFFF"/>
              <w:spacing w:line="480" w:lineRule="auto"/>
              <w:rPr>
                <w:szCs w:val="20"/>
              </w:rPr>
            </w:pPr>
            <w:r>
              <w:rPr>
                <w:rFonts w:hint="eastAsia"/>
                <w:szCs w:val="20"/>
              </w:rPr>
              <w:t>2.学时汇总：教师学时汇总表，由人员基础信息和所学课程基础信息组成，支持导出操作；</w:t>
            </w:r>
          </w:p>
          <w:p>
            <w:pPr>
              <w:widowControl/>
              <w:shd w:val="clear" w:color="auto" w:fill="FFFFFF"/>
              <w:spacing w:line="480" w:lineRule="auto"/>
              <w:rPr>
                <w:szCs w:val="20"/>
              </w:rPr>
            </w:pPr>
            <w:r>
              <w:rPr>
                <w:rFonts w:hint="eastAsia"/>
                <w:szCs w:val="20"/>
              </w:rPr>
              <w:t>教研活动：选择活动分类及活动状态，并可按教研组进行筛选，查看进行中、已结束的活动时间范围等，并支持笔记记录。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Merge w:val="continue"/>
            <w:vAlign w:val="center"/>
          </w:tcPr>
          <w:p>
            <w:pPr>
              <w:widowControl/>
              <w:shd w:val="clear" w:color="auto" w:fill="FFFFFF"/>
              <w:spacing w:line="480" w:lineRule="auto"/>
              <w:ind w:firstLine="420"/>
              <w:rPr>
                <w:szCs w:val="20"/>
              </w:rPr>
            </w:pPr>
          </w:p>
        </w:tc>
        <w:tc>
          <w:tcPr>
            <w:tcW w:w="2292" w:type="dxa"/>
            <w:vAlign w:val="center"/>
          </w:tcPr>
          <w:p>
            <w:pPr>
              <w:widowControl/>
              <w:shd w:val="clear" w:color="auto" w:fill="FFFFFF"/>
              <w:spacing w:line="480" w:lineRule="auto"/>
              <w:rPr>
                <w:szCs w:val="20"/>
              </w:rPr>
            </w:pPr>
            <w:r>
              <w:rPr>
                <w:rFonts w:hint="eastAsia"/>
                <w:szCs w:val="20"/>
              </w:rPr>
              <w:t>教研组管理</w:t>
            </w:r>
          </w:p>
        </w:tc>
        <w:tc>
          <w:tcPr>
            <w:tcW w:w="5580" w:type="dxa"/>
            <w:vAlign w:val="center"/>
          </w:tcPr>
          <w:p>
            <w:pPr>
              <w:widowControl/>
              <w:shd w:val="clear" w:color="auto" w:fill="FFFFFF"/>
              <w:spacing w:line="480" w:lineRule="auto"/>
              <w:rPr>
                <w:szCs w:val="20"/>
              </w:rPr>
            </w:pPr>
            <w:r>
              <w:rPr>
                <w:rFonts w:hint="eastAsia"/>
                <w:szCs w:val="20"/>
              </w:rPr>
              <w:t>成员管理：可对教研组及所属成员进行管理。</w:t>
            </w:r>
          </w:p>
          <w:p>
            <w:pPr>
              <w:widowControl/>
              <w:shd w:val="clear" w:color="auto" w:fill="FFFFFF"/>
              <w:spacing w:line="480" w:lineRule="auto"/>
              <w:rPr>
                <w:szCs w:val="20"/>
              </w:rPr>
            </w:pPr>
            <w:r>
              <w:rPr>
                <w:rFonts w:hint="eastAsia"/>
                <w:szCs w:val="20"/>
              </w:rPr>
              <w:t>1.注册用户：通过姓名、手机号、学号设置相应的角色；</w:t>
            </w:r>
          </w:p>
          <w:p>
            <w:pPr>
              <w:widowControl/>
              <w:shd w:val="clear" w:color="auto" w:fill="FFFFFF"/>
              <w:spacing w:line="480" w:lineRule="auto"/>
              <w:rPr>
                <w:szCs w:val="20"/>
              </w:rPr>
            </w:pPr>
            <w:r>
              <w:rPr>
                <w:rFonts w:hint="eastAsia"/>
                <w:szCs w:val="20"/>
              </w:rPr>
              <w:t>2.教研组管理：创建教研室名称、属性、主管、及所属权限；</w:t>
            </w:r>
          </w:p>
          <w:p>
            <w:pPr>
              <w:widowControl/>
              <w:shd w:val="clear" w:color="auto" w:fill="FFFFFF"/>
              <w:spacing w:line="480" w:lineRule="auto"/>
              <w:rPr>
                <w:szCs w:val="20"/>
              </w:rPr>
            </w:pPr>
            <w:r>
              <w:rPr>
                <w:rFonts w:hint="eastAsia"/>
                <w:szCs w:val="20"/>
              </w:rPr>
              <w:t>圈子：群聊、教研动态、教研圈子。</w:t>
            </w:r>
          </w:p>
          <w:p>
            <w:pPr>
              <w:widowControl/>
              <w:shd w:val="clear" w:color="auto" w:fill="FFFFFF"/>
              <w:spacing w:line="480" w:lineRule="auto"/>
              <w:rPr>
                <w:szCs w:val="20"/>
              </w:rPr>
            </w:pPr>
            <w:r>
              <w:rPr>
                <w:rFonts w:hint="eastAsia"/>
                <w:szCs w:val="20"/>
              </w:rPr>
              <w:t>1.群聊：支持群聊功能，教研组的老师可在群里内文字及语音沟通，发送文件；</w:t>
            </w:r>
          </w:p>
          <w:p>
            <w:pPr>
              <w:widowControl/>
              <w:shd w:val="clear" w:color="auto" w:fill="FFFFFF"/>
              <w:spacing w:line="480" w:lineRule="auto"/>
              <w:rPr>
                <w:szCs w:val="20"/>
              </w:rPr>
            </w:pPr>
            <w:r>
              <w:rPr>
                <w:rFonts w:hint="eastAsia"/>
                <w:szCs w:val="20"/>
              </w:rPr>
              <w:t>2.站内信：教研组可在站内信中进行邮件交流；</w:t>
            </w:r>
          </w:p>
          <w:p>
            <w:pPr>
              <w:widowControl/>
              <w:shd w:val="clear" w:color="auto" w:fill="FFFFFF"/>
              <w:spacing w:line="480" w:lineRule="auto"/>
              <w:rPr>
                <w:szCs w:val="20"/>
              </w:rPr>
            </w:pPr>
            <w:r>
              <w:rPr>
                <w:rFonts w:hint="eastAsia"/>
                <w:szCs w:val="20"/>
              </w:rPr>
              <w:t>3.教研圈子：新建讨论话题，讨论组，上传文字、附件等内容并支持点赞转发；</w:t>
            </w:r>
          </w:p>
          <w:p>
            <w:pPr>
              <w:widowControl/>
              <w:shd w:val="clear" w:color="auto" w:fill="FFFFFF"/>
              <w:spacing w:line="480" w:lineRule="auto"/>
              <w:rPr>
                <w:szCs w:val="20"/>
              </w:rPr>
            </w:pPr>
            <w:r>
              <w:rPr>
                <w:rFonts w:hint="eastAsia"/>
                <w:szCs w:val="20"/>
              </w:rPr>
              <w:t>教研活动：活动查询，教研活动管理。</w:t>
            </w:r>
          </w:p>
          <w:p>
            <w:pPr>
              <w:widowControl/>
              <w:shd w:val="clear" w:color="auto" w:fill="FFFFFF"/>
              <w:spacing w:line="480" w:lineRule="auto"/>
              <w:rPr>
                <w:szCs w:val="20"/>
              </w:rPr>
            </w:pPr>
            <w:r>
              <w:rPr>
                <w:rFonts w:hint="eastAsia"/>
                <w:szCs w:val="20"/>
              </w:rPr>
              <w:t>1.活动查询：可查看全部活动，包括今日课程及直播课堂（超星课堂）等；</w:t>
            </w:r>
          </w:p>
          <w:p>
            <w:pPr>
              <w:widowControl/>
              <w:shd w:val="clear" w:color="auto" w:fill="FFFFFF"/>
              <w:spacing w:line="480" w:lineRule="auto"/>
              <w:rPr>
                <w:szCs w:val="20"/>
              </w:rPr>
            </w:pPr>
            <w:r>
              <w:rPr>
                <w:rFonts w:hint="eastAsia"/>
                <w:szCs w:val="20"/>
              </w:rPr>
              <w:t>2.教研活动管理：可发布及导入导出活动，包括活动封面、标题、主办单位、分类、级别、主讲人、报名结束时间、学时学分、地点、内容等；</w:t>
            </w:r>
          </w:p>
          <w:p>
            <w:pPr>
              <w:widowControl/>
              <w:shd w:val="clear" w:color="auto" w:fill="FFFFFF"/>
              <w:spacing w:line="480" w:lineRule="auto"/>
              <w:rPr>
                <w:szCs w:val="20"/>
              </w:rPr>
            </w:pPr>
            <w:r>
              <w:rPr>
                <w:rFonts w:hint="eastAsia"/>
                <w:szCs w:val="20"/>
              </w:rPr>
              <w:t>教研工具管理：</w:t>
            </w:r>
          </w:p>
          <w:p>
            <w:pPr>
              <w:widowControl/>
              <w:shd w:val="clear" w:color="auto" w:fill="FFFFFF"/>
              <w:spacing w:line="480" w:lineRule="auto"/>
              <w:rPr>
                <w:szCs w:val="20"/>
              </w:rPr>
            </w:pPr>
            <w:r>
              <w:rPr>
                <w:rFonts w:hint="eastAsia"/>
                <w:szCs w:val="20"/>
              </w:rPr>
              <w:t>问卷发放：新建表单问卷及表单问卷库，发布后教师可填写相应问卷。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Merge w:val="continue"/>
            <w:vAlign w:val="center"/>
          </w:tcPr>
          <w:p>
            <w:pPr>
              <w:widowControl/>
              <w:shd w:val="clear" w:color="auto" w:fill="FFFFFF"/>
              <w:spacing w:line="480" w:lineRule="auto"/>
              <w:ind w:firstLine="420"/>
              <w:rPr>
                <w:szCs w:val="20"/>
              </w:rPr>
            </w:pPr>
          </w:p>
        </w:tc>
        <w:tc>
          <w:tcPr>
            <w:tcW w:w="2292" w:type="dxa"/>
            <w:vAlign w:val="center"/>
          </w:tcPr>
          <w:p>
            <w:pPr>
              <w:widowControl/>
              <w:shd w:val="clear" w:color="auto" w:fill="FFFFFF"/>
              <w:spacing w:line="480" w:lineRule="auto"/>
              <w:rPr>
                <w:szCs w:val="20"/>
              </w:rPr>
            </w:pPr>
            <w:r>
              <w:rPr>
                <w:rFonts w:hint="eastAsia"/>
                <w:szCs w:val="20"/>
              </w:rPr>
              <w:t>教研资源共建</w:t>
            </w:r>
          </w:p>
        </w:tc>
        <w:tc>
          <w:tcPr>
            <w:tcW w:w="5580" w:type="dxa"/>
            <w:vAlign w:val="center"/>
          </w:tcPr>
          <w:p>
            <w:pPr>
              <w:widowControl/>
              <w:shd w:val="clear" w:color="auto" w:fill="FFFFFF"/>
              <w:spacing w:line="480" w:lineRule="auto"/>
              <w:rPr>
                <w:szCs w:val="20"/>
              </w:rPr>
            </w:pPr>
            <w:r>
              <w:rPr>
                <w:rFonts w:hint="eastAsia"/>
                <w:szCs w:val="20"/>
              </w:rPr>
              <w:t>1.电子教材：共建共享电子教材；</w:t>
            </w:r>
          </w:p>
          <w:p>
            <w:pPr>
              <w:widowControl/>
              <w:shd w:val="clear" w:color="auto" w:fill="FFFFFF"/>
              <w:spacing w:line="480" w:lineRule="auto"/>
              <w:rPr>
                <w:szCs w:val="20"/>
              </w:rPr>
            </w:pPr>
            <w:r>
              <w:rPr>
                <w:rFonts w:hint="eastAsia"/>
                <w:szCs w:val="20"/>
              </w:rPr>
              <w:t>2.教研会议：进行教研会议记录；</w:t>
            </w:r>
          </w:p>
          <w:p>
            <w:pPr>
              <w:widowControl/>
              <w:shd w:val="clear" w:color="auto" w:fill="FFFFFF"/>
              <w:spacing w:line="480" w:lineRule="auto"/>
              <w:rPr>
                <w:szCs w:val="20"/>
              </w:rPr>
            </w:pPr>
            <w:r>
              <w:rPr>
                <w:rFonts w:hint="eastAsia"/>
                <w:szCs w:val="20"/>
              </w:rPr>
              <w:t>3.作业习题：共享习题及作业；</w:t>
            </w:r>
          </w:p>
          <w:p>
            <w:pPr>
              <w:widowControl/>
              <w:shd w:val="clear" w:color="auto" w:fill="FFFFFF"/>
              <w:spacing w:line="480" w:lineRule="auto"/>
              <w:rPr>
                <w:szCs w:val="20"/>
              </w:rPr>
            </w:pPr>
            <w:r>
              <w:rPr>
                <w:rFonts w:hint="eastAsia"/>
                <w:szCs w:val="20"/>
              </w:rPr>
              <w:t>4.教学视频：共享教学视频，并支持保存、下载、转发；</w:t>
            </w:r>
          </w:p>
          <w:p>
            <w:pPr>
              <w:widowControl/>
              <w:shd w:val="clear" w:color="auto" w:fill="FFFFFF"/>
              <w:spacing w:line="480" w:lineRule="auto"/>
              <w:rPr>
                <w:szCs w:val="20"/>
              </w:rPr>
            </w:pPr>
            <w:r>
              <w:rPr>
                <w:rFonts w:hint="eastAsia"/>
                <w:szCs w:val="20"/>
              </w:rPr>
              <w:t>5.教学大纲：教研组内协同共建教学大纲设计；</w:t>
            </w:r>
          </w:p>
          <w:p>
            <w:pPr>
              <w:widowControl/>
              <w:shd w:val="clear" w:color="auto" w:fill="FFFFFF"/>
              <w:spacing w:line="480" w:lineRule="auto"/>
              <w:rPr>
                <w:szCs w:val="20"/>
              </w:rPr>
            </w:pPr>
            <w:r>
              <w:rPr>
                <w:rFonts w:hint="eastAsia"/>
                <w:szCs w:val="20"/>
              </w:rPr>
              <w:t>6.教学设计：教研组内共建共享教学设计文档；</w:t>
            </w:r>
          </w:p>
          <w:p>
            <w:pPr>
              <w:widowControl/>
              <w:shd w:val="clear" w:color="auto" w:fill="FFFFFF"/>
              <w:spacing w:line="480" w:lineRule="auto"/>
              <w:rPr>
                <w:szCs w:val="20"/>
              </w:rPr>
            </w:pPr>
            <w:r>
              <w:rPr>
                <w:rFonts w:hint="eastAsia"/>
                <w:szCs w:val="20"/>
              </w:rPr>
              <w:t>7.教学课件：教研组内共享教学课件；</w:t>
            </w:r>
          </w:p>
          <w:p>
            <w:pPr>
              <w:widowControl/>
              <w:shd w:val="clear" w:color="auto" w:fill="FFFFFF"/>
              <w:spacing w:line="480" w:lineRule="auto"/>
              <w:rPr>
                <w:szCs w:val="20"/>
              </w:rPr>
            </w:pPr>
            <w:r>
              <w:rPr>
                <w:rFonts w:hint="eastAsia"/>
                <w:szCs w:val="20"/>
              </w:rPr>
              <w:t>8.知识图谱：支持通过知识梳理进行知识图谱创建，以及基于图谱的自适应教学与学习。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Merge w:val="continue"/>
            <w:vAlign w:val="center"/>
          </w:tcPr>
          <w:p>
            <w:pPr>
              <w:widowControl/>
              <w:shd w:val="clear" w:color="auto" w:fill="FFFFFF"/>
              <w:spacing w:line="480" w:lineRule="auto"/>
              <w:ind w:firstLine="420"/>
              <w:rPr>
                <w:szCs w:val="20"/>
              </w:rPr>
            </w:pPr>
          </w:p>
        </w:tc>
        <w:tc>
          <w:tcPr>
            <w:tcW w:w="2292" w:type="dxa"/>
            <w:vAlign w:val="center"/>
          </w:tcPr>
          <w:p>
            <w:pPr>
              <w:widowControl/>
              <w:shd w:val="clear" w:color="auto" w:fill="FFFFFF"/>
              <w:spacing w:line="480" w:lineRule="auto"/>
              <w:rPr>
                <w:szCs w:val="20"/>
              </w:rPr>
            </w:pPr>
            <w:r>
              <w:rPr>
                <w:rFonts w:hint="eastAsia"/>
                <w:szCs w:val="20"/>
              </w:rPr>
              <w:t>教研成果</w:t>
            </w:r>
          </w:p>
        </w:tc>
        <w:tc>
          <w:tcPr>
            <w:tcW w:w="5580" w:type="dxa"/>
            <w:vAlign w:val="center"/>
          </w:tcPr>
          <w:p>
            <w:pPr>
              <w:widowControl/>
              <w:shd w:val="clear" w:color="auto" w:fill="FFFFFF"/>
              <w:spacing w:line="480" w:lineRule="auto"/>
              <w:rPr>
                <w:szCs w:val="20"/>
              </w:rPr>
            </w:pPr>
            <w:r>
              <w:rPr>
                <w:rFonts w:hint="eastAsia"/>
                <w:szCs w:val="20"/>
              </w:rPr>
              <w:t>进行专利，课程，教学，习题等内容文件进行上传、查看、编辑等操作，并支持修改删除及文件夹名称；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Merge w:val="continue"/>
            <w:vAlign w:val="center"/>
          </w:tcPr>
          <w:p>
            <w:pPr>
              <w:widowControl/>
              <w:shd w:val="clear" w:color="auto" w:fill="FFFFFF"/>
              <w:spacing w:line="480" w:lineRule="auto"/>
              <w:ind w:firstLine="420"/>
              <w:rPr>
                <w:szCs w:val="20"/>
              </w:rPr>
            </w:pPr>
          </w:p>
        </w:tc>
        <w:tc>
          <w:tcPr>
            <w:tcW w:w="2292" w:type="dxa"/>
            <w:vAlign w:val="center"/>
          </w:tcPr>
          <w:p>
            <w:pPr>
              <w:widowControl/>
              <w:shd w:val="clear" w:color="auto" w:fill="FFFFFF"/>
              <w:spacing w:line="480" w:lineRule="auto"/>
              <w:rPr>
                <w:szCs w:val="20"/>
              </w:rPr>
            </w:pPr>
            <w:r>
              <w:rPr>
                <w:rFonts w:hint="eastAsia"/>
                <w:szCs w:val="20"/>
              </w:rPr>
              <w:t>数据统计</w:t>
            </w:r>
          </w:p>
        </w:tc>
        <w:tc>
          <w:tcPr>
            <w:tcW w:w="5580" w:type="dxa"/>
            <w:vAlign w:val="center"/>
          </w:tcPr>
          <w:p>
            <w:pPr>
              <w:widowControl/>
              <w:shd w:val="clear" w:color="auto" w:fill="FFFFFF"/>
              <w:spacing w:line="480" w:lineRule="auto"/>
              <w:rPr>
                <w:szCs w:val="20"/>
              </w:rPr>
            </w:pPr>
            <w:r>
              <w:rPr>
                <w:rFonts w:hint="eastAsia"/>
                <w:szCs w:val="20"/>
              </w:rPr>
              <w:t>教研室统计：</w:t>
            </w:r>
          </w:p>
          <w:p>
            <w:pPr>
              <w:widowControl/>
              <w:shd w:val="clear" w:color="auto" w:fill="FFFFFF"/>
              <w:spacing w:line="480" w:lineRule="auto"/>
              <w:rPr>
                <w:szCs w:val="20"/>
              </w:rPr>
            </w:pPr>
            <w:r>
              <w:rPr>
                <w:rFonts w:hint="eastAsia"/>
                <w:szCs w:val="20"/>
              </w:rPr>
              <w:t>1.活动统计：查看线上、线下活动，课程活动及讨论活动；</w:t>
            </w:r>
          </w:p>
          <w:p>
            <w:pPr>
              <w:widowControl/>
              <w:shd w:val="clear" w:color="auto" w:fill="FFFFFF"/>
              <w:spacing w:line="480" w:lineRule="auto"/>
              <w:rPr>
                <w:szCs w:val="20"/>
              </w:rPr>
            </w:pPr>
            <w:r>
              <w:rPr>
                <w:rFonts w:hint="eastAsia"/>
                <w:szCs w:val="20"/>
              </w:rPr>
              <w:t>2.成员数、话题数、讨论数、课程数、知识点数、资源数、文件数、图片数、视频数；</w:t>
            </w:r>
          </w:p>
          <w:p>
            <w:pPr>
              <w:widowControl/>
              <w:shd w:val="clear" w:color="auto" w:fill="FFFFFF"/>
              <w:spacing w:line="480" w:lineRule="auto"/>
              <w:rPr>
                <w:szCs w:val="20"/>
              </w:rPr>
            </w:pPr>
            <w:r>
              <w:rPr>
                <w:rFonts w:hint="eastAsia"/>
                <w:szCs w:val="20"/>
              </w:rPr>
              <w:t>3.教研活动：教研方法研究、教材研讨、教研讨论；</w:t>
            </w:r>
          </w:p>
          <w:p>
            <w:pPr>
              <w:widowControl/>
              <w:shd w:val="clear" w:color="auto" w:fill="FFFFFF"/>
              <w:spacing w:line="480" w:lineRule="auto"/>
              <w:rPr>
                <w:szCs w:val="20"/>
              </w:rPr>
            </w:pPr>
            <w:r>
              <w:rPr>
                <w:rFonts w:hint="eastAsia"/>
                <w:szCs w:val="20"/>
              </w:rPr>
              <w:t>4.资源复用：下载、阅读、转发的复用次数；</w:t>
            </w:r>
          </w:p>
          <w:p>
            <w:pPr>
              <w:widowControl/>
              <w:shd w:val="clear" w:color="auto" w:fill="FFFFFF"/>
              <w:spacing w:line="480" w:lineRule="auto"/>
              <w:rPr>
                <w:szCs w:val="20"/>
              </w:rPr>
            </w:pPr>
            <w:r>
              <w:rPr>
                <w:rFonts w:hint="eastAsia"/>
                <w:szCs w:val="20"/>
              </w:rPr>
              <w:t>5.每月活动发布趋势图；</w:t>
            </w:r>
          </w:p>
          <w:p>
            <w:pPr>
              <w:widowControl/>
              <w:shd w:val="clear" w:color="auto" w:fill="FFFFFF"/>
              <w:spacing w:line="480" w:lineRule="auto"/>
              <w:rPr>
                <w:szCs w:val="20"/>
              </w:rPr>
            </w:pPr>
            <w:r>
              <w:rPr>
                <w:rFonts w:hint="eastAsia"/>
                <w:szCs w:val="20"/>
              </w:rPr>
              <w:t>6.活动数Top5教师展示。</w:t>
            </w:r>
          </w:p>
          <w:p>
            <w:pPr>
              <w:widowControl/>
              <w:shd w:val="clear" w:color="auto" w:fill="FFFFFF"/>
              <w:spacing w:line="480" w:lineRule="auto"/>
              <w:rPr>
                <w:szCs w:val="20"/>
              </w:rPr>
            </w:pPr>
            <w:r>
              <w:rPr>
                <w:rFonts w:hint="eastAsia"/>
                <w:szCs w:val="20"/>
              </w:rPr>
              <w:t>教师教研统计：</w:t>
            </w:r>
          </w:p>
          <w:p>
            <w:pPr>
              <w:widowControl/>
              <w:shd w:val="clear" w:color="auto" w:fill="FFFFFF"/>
              <w:spacing w:line="480" w:lineRule="auto"/>
              <w:rPr>
                <w:szCs w:val="20"/>
              </w:rPr>
            </w:pPr>
            <w:r>
              <w:rPr>
                <w:rFonts w:hint="eastAsia"/>
                <w:szCs w:val="20"/>
              </w:rPr>
              <w:t>1.教师可查看个人活动参与次数，教研活动类型，上传资源数；</w:t>
            </w:r>
          </w:p>
          <w:p>
            <w:pPr>
              <w:widowControl/>
              <w:shd w:val="clear" w:color="auto" w:fill="FFFFFF"/>
              <w:spacing w:line="480" w:lineRule="auto"/>
              <w:rPr>
                <w:szCs w:val="20"/>
              </w:rPr>
            </w:pPr>
            <w:r>
              <w:rPr>
                <w:rFonts w:hint="eastAsia"/>
                <w:szCs w:val="20"/>
              </w:rPr>
              <w:t>2.排名：</w:t>
            </w:r>
          </w:p>
          <w:p>
            <w:pPr>
              <w:widowControl/>
              <w:shd w:val="clear" w:color="auto" w:fill="FFFFFF"/>
              <w:spacing w:line="480" w:lineRule="auto"/>
              <w:rPr>
                <w:szCs w:val="20"/>
              </w:rPr>
            </w:pPr>
            <w:r>
              <w:rPr>
                <w:rFonts w:hint="eastAsia"/>
                <w:szCs w:val="20"/>
              </w:rPr>
              <w:t>①活动参与排名：展示全校，教研室排名及线上线下活动数量；</w:t>
            </w:r>
          </w:p>
          <w:p>
            <w:pPr>
              <w:widowControl/>
              <w:shd w:val="clear" w:color="auto" w:fill="FFFFFF"/>
              <w:spacing w:line="480" w:lineRule="auto"/>
              <w:rPr>
                <w:szCs w:val="20"/>
              </w:rPr>
            </w:pPr>
            <w:r>
              <w:rPr>
                <w:rFonts w:hint="eastAsia"/>
                <w:szCs w:val="20"/>
              </w:rPr>
              <w:t>②上传资源排名：展示全校，教研室排名及文档数、图片数、视频数；</w:t>
            </w:r>
          </w:p>
          <w:p>
            <w:pPr>
              <w:widowControl/>
              <w:shd w:val="clear" w:color="auto" w:fill="FFFFFF"/>
              <w:spacing w:line="480" w:lineRule="auto"/>
              <w:rPr>
                <w:szCs w:val="20"/>
              </w:rPr>
            </w:pPr>
            <w:r>
              <w:rPr>
                <w:rFonts w:hint="eastAsia"/>
                <w:szCs w:val="20"/>
              </w:rPr>
              <w:t>全校教研统计：</w:t>
            </w:r>
          </w:p>
          <w:p>
            <w:pPr>
              <w:widowControl/>
              <w:shd w:val="clear" w:color="auto" w:fill="FFFFFF"/>
              <w:spacing w:line="480" w:lineRule="auto"/>
              <w:rPr>
                <w:szCs w:val="20"/>
              </w:rPr>
            </w:pPr>
            <w:r>
              <w:rPr>
                <w:rFonts w:hint="eastAsia"/>
                <w:szCs w:val="20"/>
              </w:rPr>
              <w:t>该模块可统计全校虚拟教研室数量及名称、小组数量及名称、教研课程数量及名称、文件夹总数、教研主任数量、教研成员总数、上传资源数等。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Merge w:val="continue"/>
            <w:vAlign w:val="center"/>
          </w:tcPr>
          <w:p>
            <w:pPr>
              <w:widowControl/>
              <w:shd w:val="clear" w:color="auto" w:fill="FFFFFF"/>
              <w:spacing w:line="480" w:lineRule="auto"/>
              <w:ind w:firstLine="420"/>
              <w:rPr>
                <w:szCs w:val="20"/>
              </w:rPr>
            </w:pPr>
          </w:p>
        </w:tc>
        <w:tc>
          <w:tcPr>
            <w:tcW w:w="2292" w:type="dxa"/>
            <w:vAlign w:val="center"/>
          </w:tcPr>
          <w:p>
            <w:pPr>
              <w:widowControl/>
              <w:shd w:val="clear" w:color="auto" w:fill="FFFFFF"/>
              <w:spacing w:line="480" w:lineRule="auto"/>
              <w:rPr>
                <w:szCs w:val="20"/>
              </w:rPr>
            </w:pPr>
            <w:r>
              <w:rPr>
                <w:rFonts w:hint="eastAsia"/>
                <w:szCs w:val="20"/>
              </w:rPr>
              <w:t>集体备课共建课程</w:t>
            </w:r>
          </w:p>
        </w:tc>
        <w:tc>
          <w:tcPr>
            <w:tcW w:w="5580" w:type="dxa"/>
            <w:vAlign w:val="center"/>
          </w:tcPr>
          <w:p>
            <w:pPr>
              <w:widowControl/>
              <w:shd w:val="clear" w:color="auto" w:fill="FFFFFF"/>
              <w:spacing w:line="480" w:lineRule="auto"/>
              <w:rPr>
                <w:szCs w:val="20"/>
              </w:rPr>
            </w:pPr>
            <w:r>
              <w:rPr>
                <w:rFonts w:hint="eastAsia"/>
                <w:szCs w:val="20"/>
              </w:rPr>
              <w:t>1.基于教学平台共同备课开发课程，支持多人协同异地同步编辑课程，上传资料；</w:t>
            </w:r>
          </w:p>
          <w:p>
            <w:pPr>
              <w:widowControl/>
              <w:shd w:val="clear" w:color="auto" w:fill="FFFFFF"/>
              <w:spacing w:line="480" w:lineRule="auto"/>
              <w:rPr>
                <w:szCs w:val="20"/>
              </w:rPr>
            </w:pPr>
            <w:r>
              <w:rPr>
                <w:rFonts w:hint="eastAsia"/>
                <w:szCs w:val="20"/>
              </w:rPr>
              <w:t>2.平台提供便捷易用的课程编辑器，支持添加图片、文档、音视频、动画、网页链接、问卷、测验等，同时也支持调用超星备课资源库的图书、报纸、知识点、学术视频、期刊论文等海量资源。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Merge w:val="continue"/>
            <w:vAlign w:val="center"/>
          </w:tcPr>
          <w:p>
            <w:pPr>
              <w:widowControl/>
              <w:shd w:val="clear" w:color="auto" w:fill="FFFFFF"/>
              <w:spacing w:line="480" w:lineRule="auto"/>
              <w:ind w:firstLine="420"/>
              <w:rPr>
                <w:szCs w:val="20"/>
              </w:rPr>
            </w:pPr>
          </w:p>
        </w:tc>
        <w:tc>
          <w:tcPr>
            <w:tcW w:w="2292" w:type="dxa"/>
            <w:vAlign w:val="center"/>
          </w:tcPr>
          <w:p>
            <w:pPr>
              <w:widowControl/>
              <w:shd w:val="clear" w:color="auto" w:fill="FFFFFF"/>
              <w:spacing w:line="480" w:lineRule="auto"/>
              <w:ind w:firstLine="420"/>
              <w:rPr>
                <w:szCs w:val="20"/>
              </w:rPr>
            </w:pPr>
            <w:r>
              <w:rPr>
                <w:rFonts w:hint="eastAsia"/>
                <w:szCs w:val="20"/>
              </w:rPr>
              <w:t>协同开展教研</w:t>
            </w:r>
          </w:p>
        </w:tc>
        <w:tc>
          <w:tcPr>
            <w:tcW w:w="5580" w:type="dxa"/>
            <w:vAlign w:val="center"/>
          </w:tcPr>
          <w:p>
            <w:pPr>
              <w:widowControl/>
              <w:shd w:val="clear" w:color="auto" w:fill="FFFFFF"/>
              <w:spacing w:line="480" w:lineRule="auto"/>
              <w:rPr>
                <w:szCs w:val="20"/>
              </w:rPr>
            </w:pPr>
            <w:r>
              <w:rPr>
                <w:rFonts w:hint="eastAsia"/>
                <w:szCs w:val="20"/>
              </w:rPr>
              <w:t>1.支持团队开展协同教研，根据各校实际可针对性选择不同教研室的开放内容、发布不同的作业、测验；</w:t>
            </w:r>
          </w:p>
          <w:p>
            <w:pPr>
              <w:widowControl/>
              <w:shd w:val="clear" w:color="auto" w:fill="FFFFFF"/>
              <w:spacing w:line="480" w:lineRule="auto"/>
              <w:rPr>
                <w:szCs w:val="20"/>
              </w:rPr>
            </w:pPr>
            <w:r>
              <w:rPr>
                <w:rFonts w:hint="eastAsia"/>
                <w:szCs w:val="20"/>
              </w:rPr>
              <w:t>2.可利用线上直播功能实现异地同步直播；</w:t>
            </w:r>
          </w:p>
          <w:p>
            <w:pPr>
              <w:widowControl/>
              <w:shd w:val="clear" w:color="auto" w:fill="FFFFFF"/>
              <w:spacing w:line="480" w:lineRule="auto"/>
              <w:rPr>
                <w:szCs w:val="20"/>
              </w:rPr>
            </w:pPr>
            <w:r>
              <w:rPr>
                <w:rFonts w:hint="eastAsia"/>
                <w:szCs w:val="20"/>
              </w:rPr>
              <w:t>3.平台可通过课程任务点、测验、互动的所有数据统计，提供教研大数据分析展示。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Merge w:val="continue"/>
            <w:vAlign w:val="center"/>
          </w:tcPr>
          <w:p>
            <w:pPr>
              <w:widowControl/>
              <w:shd w:val="clear" w:color="auto" w:fill="FFFFFF"/>
              <w:spacing w:line="480" w:lineRule="auto"/>
              <w:ind w:firstLine="420"/>
              <w:rPr>
                <w:szCs w:val="20"/>
              </w:rPr>
            </w:pPr>
          </w:p>
        </w:tc>
        <w:tc>
          <w:tcPr>
            <w:tcW w:w="2292" w:type="dxa"/>
            <w:vAlign w:val="center"/>
          </w:tcPr>
          <w:p>
            <w:pPr>
              <w:widowControl/>
              <w:shd w:val="clear" w:color="auto" w:fill="FFFFFF"/>
              <w:spacing w:line="480" w:lineRule="auto"/>
              <w:ind w:firstLine="420"/>
              <w:rPr>
                <w:szCs w:val="20"/>
              </w:rPr>
            </w:pPr>
            <w:r>
              <w:rPr>
                <w:rFonts w:hint="eastAsia"/>
                <w:szCs w:val="20"/>
              </w:rPr>
              <w:t>门户网站</w:t>
            </w:r>
          </w:p>
        </w:tc>
        <w:tc>
          <w:tcPr>
            <w:tcW w:w="5580" w:type="dxa"/>
            <w:vAlign w:val="center"/>
          </w:tcPr>
          <w:p>
            <w:pPr>
              <w:widowControl/>
              <w:shd w:val="clear" w:color="auto" w:fill="FFFFFF"/>
              <w:spacing w:line="480" w:lineRule="auto"/>
              <w:rPr>
                <w:szCs w:val="20"/>
              </w:rPr>
            </w:pPr>
            <w:r>
              <w:rPr>
                <w:rFonts w:hint="eastAsia"/>
                <w:szCs w:val="20"/>
              </w:rPr>
              <w:t>1.支持虚拟教研室简介、名师风采、联络方式、版权信息等网站常规展示功能；</w:t>
            </w:r>
          </w:p>
          <w:p>
            <w:pPr>
              <w:widowControl/>
              <w:shd w:val="clear" w:color="auto" w:fill="FFFFFF"/>
              <w:spacing w:line="480" w:lineRule="auto"/>
              <w:rPr>
                <w:szCs w:val="20"/>
              </w:rPr>
            </w:pPr>
            <w:r>
              <w:rPr>
                <w:rFonts w:hint="eastAsia"/>
                <w:szCs w:val="20"/>
              </w:rPr>
              <w:t>2.支持新闻公告的发布管理；</w:t>
            </w:r>
          </w:p>
          <w:p>
            <w:pPr>
              <w:widowControl/>
              <w:shd w:val="clear" w:color="auto" w:fill="FFFFFF"/>
              <w:spacing w:line="480" w:lineRule="auto"/>
              <w:rPr>
                <w:szCs w:val="20"/>
              </w:rPr>
            </w:pPr>
            <w:r>
              <w:rPr>
                <w:rFonts w:hint="eastAsia"/>
                <w:szCs w:val="20"/>
              </w:rPr>
              <w:t>3.支持政策文件、共享资料的上传下载功能；</w:t>
            </w:r>
          </w:p>
          <w:p>
            <w:pPr>
              <w:widowControl/>
              <w:shd w:val="clear" w:color="auto" w:fill="FFFFFF"/>
              <w:spacing w:line="480" w:lineRule="auto"/>
              <w:rPr>
                <w:szCs w:val="20"/>
              </w:rPr>
            </w:pPr>
            <w:r>
              <w:rPr>
                <w:rFonts w:hint="eastAsia"/>
                <w:szCs w:val="20"/>
              </w:rPr>
              <w:t>4.支持教研室信息和教研成果展示。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Merge w:val="continue"/>
            <w:vAlign w:val="center"/>
          </w:tcPr>
          <w:p>
            <w:pPr>
              <w:widowControl/>
              <w:shd w:val="clear" w:color="auto" w:fill="FFFFFF"/>
              <w:spacing w:line="480" w:lineRule="auto"/>
              <w:ind w:firstLine="420"/>
              <w:rPr>
                <w:szCs w:val="20"/>
              </w:rPr>
            </w:pPr>
          </w:p>
        </w:tc>
        <w:tc>
          <w:tcPr>
            <w:tcW w:w="2292" w:type="dxa"/>
            <w:vAlign w:val="center"/>
          </w:tcPr>
          <w:p>
            <w:pPr>
              <w:widowControl/>
              <w:shd w:val="clear" w:color="auto" w:fill="FFFFFF"/>
              <w:spacing w:line="480" w:lineRule="auto"/>
              <w:rPr>
                <w:szCs w:val="20"/>
              </w:rPr>
            </w:pPr>
            <w:r>
              <w:rPr>
                <w:rFonts w:hint="eastAsia"/>
                <w:szCs w:val="20"/>
              </w:rPr>
              <w:t>课程教学资源集合</w:t>
            </w:r>
          </w:p>
        </w:tc>
        <w:tc>
          <w:tcPr>
            <w:tcW w:w="5580" w:type="dxa"/>
            <w:vAlign w:val="center"/>
          </w:tcPr>
          <w:p>
            <w:pPr>
              <w:widowControl/>
              <w:shd w:val="clear" w:color="auto" w:fill="FFFFFF"/>
              <w:spacing w:line="480" w:lineRule="auto"/>
              <w:rPr>
                <w:szCs w:val="20"/>
              </w:rPr>
            </w:pPr>
            <w:r>
              <w:rPr>
                <w:rFonts w:hint="eastAsia"/>
                <w:szCs w:val="20"/>
              </w:rPr>
              <w:t>支持教研室协同完成人才培养方案、教学大纲、知识图谱、教学视频、电子课件、习题试题、教学案例、实验项目、实训项目等教学资源的设计、开发、上传、共享、维护等功能。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Merge w:val="continue"/>
            <w:vAlign w:val="center"/>
          </w:tcPr>
          <w:p>
            <w:pPr>
              <w:widowControl/>
              <w:shd w:val="clear" w:color="auto" w:fill="FFFFFF"/>
              <w:spacing w:line="480" w:lineRule="auto"/>
              <w:ind w:firstLine="420"/>
              <w:rPr>
                <w:szCs w:val="20"/>
              </w:rPr>
            </w:pPr>
          </w:p>
        </w:tc>
        <w:tc>
          <w:tcPr>
            <w:tcW w:w="2292" w:type="dxa"/>
            <w:vAlign w:val="center"/>
          </w:tcPr>
          <w:p>
            <w:pPr>
              <w:widowControl/>
              <w:shd w:val="clear" w:color="auto" w:fill="FFFFFF"/>
              <w:spacing w:line="480" w:lineRule="auto"/>
              <w:rPr>
                <w:szCs w:val="20"/>
              </w:rPr>
            </w:pPr>
            <w:r>
              <w:rPr>
                <w:rFonts w:hint="eastAsia"/>
                <w:szCs w:val="20"/>
              </w:rPr>
              <w:t>教研文献资源</w:t>
            </w:r>
          </w:p>
        </w:tc>
        <w:tc>
          <w:tcPr>
            <w:tcW w:w="5580" w:type="dxa"/>
            <w:vAlign w:val="center"/>
          </w:tcPr>
          <w:p>
            <w:pPr>
              <w:widowControl/>
              <w:shd w:val="clear" w:color="auto" w:fill="FFFFFF"/>
              <w:spacing w:line="480" w:lineRule="auto"/>
              <w:rPr>
                <w:szCs w:val="20"/>
              </w:rPr>
            </w:pPr>
            <w:r>
              <w:rPr>
                <w:rFonts w:hint="eastAsia"/>
                <w:szCs w:val="20"/>
              </w:rPr>
              <w:t>可提供教学期刊、教学图书、教师成长专题资源等文献，供教研室开展教学研究。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Merge w:val="continue"/>
            <w:vAlign w:val="center"/>
          </w:tcPr>
          <w:p>
            <w:pPr>
              <w:widowControl/>
              <w:shd w:val="clear" w:color="auto" w:fill="FFFFFF"/>
              <w:spacing w:line="480" w:lineRule="auto"/>
              <w:ind w:firstLine="420"/>
              <w:rPr>
                <w:szCs w:val="20"/>
              </w:rPr>
            </w:pPr>
          </w:p>
        </w:tc>
        <w:tc>
          <w:tcPr>
            <w:tcW w:w="2292" w:type="dxa"/>
            <w:vAlign w:val="center"/>
          </w:tcPr>
          <w:p>
            <w:pPr>
              <w:widowControl/>
              <w:shd w:val="clear" w:color="auto" w:fill="FFFFFF"/>
              <w:spacing w:line="480" w:lineRule="auto"/>
              <w:rPr>
                <w:szCs w:val="20"/>
              </w:rPr>
            </w:pPr>
            <w:r>
              <w:rPr>
                <w:rFonts w:hint="eastAsia"/>
                <w:szCs w:val="20"/>
              </w:rPr>
              <w:t>优秀教学案例库</w:t>
            </w:r>
          </w:p>
        </w:tc>
        <w:tc>
          <w:tcPr>
            <w:tcW w:w="5580" w:type="dxa"/>
            <w:vAlign w:val="center"/>
          </w:tcPr>
          <w:p>
            <w:pPr>
              <w:widowControl/>
              <w:shd w:val="clear" w:color="auto" w:fill="FFFFFF"/>
              <w:spacing w:line="480" w:lineRule="auto"/>
              <w:rPr>
                <w:szCs w:val="20"/>
              </w:rPr>
            </w:pPr>
            <w:r>
              <w:rPr>
                <w:rFonts w:hint="eastAsia"/>
                <w:szCs w:val="20"/>
              </w:rPr>
              <w:t>支持教研室上传团队优秀教学案例，如教学设计样例、优秀教案、优秀课件、示范课程、示范课堂等，供团队观摩学习。</w:t>
            </w:r>
          </w:p>
        </w:tc>
      </w:tr>
    </w:tbl>
    <w:p>
      <w:pPr>
        <w:pStyle w:val="8"/>
        <w:ind w:firstLine="600"/>
      </w:pPr>
    </w:p>
    <w:p>
      <w:pPr>
        <w:widowControl/>
        <w:shd w:val="clear" w:color="auto" w:fill="FFFFFF"/>
        <w:spacing w:line="480" w:lineRule="auto"/>
        <w:ind w:firstLine="420"/>
        <w:rPr>
          <w:color w:val="FF0000"/>
          <w:sz w:val="24"/>
        </w:rPr>
      </w:pPr>
    </w:p>
    <w:p>
      <w:pPr>
        <w:widowControl/>
        <w:shd w:val="clear" w:color="auto" w:fill="FFFFFF"/>
        <w:spacing w:line="480" w:lineRule="auto"/>
        <w:ind w:firstLine="420"/>
        <w:rPr>
          <w:color w:val="FF0000"/>
          <w:sz w:val="24"/>
        </w:rPr>
      </w:pPr>
      <w:r>
        <w:rPr>
          <w:rFonts w:hint="eastAsia"/>
          <w:color w:val="FF0000"/>
          <w:sz w:val="24"/>
        </w:rPr>
        <w:t>品目信息二（如有，请</w:t>
      </w:r>
      <w:r>
        <w:rPr>
          <w:color w:val="FF0000"/>
          <w:sz w:val="24"/>
        </w:rPr>
        <w:t>复制</w:t>
      </w:r>
      <w:r>
        <w:rPr>
          <w:rFonts w:hint="eastAsia"/>
          <w:color w:val="FF0000"/>
          <w:sz w:val="24"/>
        </w:rPr>
        <w:t>品目信息一的</w:t>
      </w:r>
      <w:r>
        <w:rPr>
          <w:color w:val="FF0000"/>
          <w:sz w:val="24"/>
        </w:rPr>
        <w:t>填</w:t>
      </w:r>
      <w:r>
        <w:rPr>
          <w:rFonts w:hint="eastAsia"/>
          <w:color w:val="FF0000"/>
          <w:sz w:val="24"/>
        </w:rPr>
        <w:t>写</w:t>
      </w:r>
      <w:r>
        <w:rPr>
          <w:color w:val="FF0000"/>
          <w:sz w:val="24"/>
        </w:rPr>
        <w:t>内容</w:t>
      </w:r>
      <w:r>
        <w:rPr>
          <w:rFonts w:hint="eastAsia"/>
          <w:color w:val="FF0000"/>
          <w:sz w:val="24"/>
        </w:rPr>
        <w:t>）</w:t>
      </w:r>
    </w:p>
    <w:p>
      <w:pPr>
        <w:widowControl/>
        <w:shd w:val="clear" w:color="auto" w:fill="FFFFFF"/>
        <w:spacing w:line="480" w:lineRule="auto"/>
        <w:ind w:firstLine="420"/>
        <w:rPr>
          <w:color w:val="FF0000"/>
          <w:sz w:val="24"/>
        </w:rPr>
      </w:pPr>
      <w:r>
        <w:rPr>
          <w:rFonts w:hint="eastAsia"/>
          <w:color w:val="FF0000"/>
          <w:sz w:val="24"/>
        </w:rPr>
        <w:t>品目信息三（如有，请</w:t>
      </w:r>
      <w:r>
        <w:rPr>
          <w:color w:val="FF0000"/>
          <w:sz w:val="24"/>
        </w:rPr>
        <w:t>复制</w:t>
      </w:r>
      <w:r>
        <w:rPr>
          <w:rFonts w:hint="eastAsia"/>
          <w:color w:val="FF0000"/>
          <w:sz w:val="24"/>
        </w:rPr>
        <w:t>品目信息一的</w:t>
      </w:r>
      <w:r>
        <w:rPr>
          <w:color w:val="FF0000"/>
          <w:sz w:val="24"/>
        </w:rPr>
        <w:t>填</w:t>
      </w:r>
      <w:r>
        <w:rPr>
          <w:rFonts w:hint="eastAsia"/>
          <w:color w:val="FF0000"/>
          <w:sz w:val="24"/>
        </w:rPr>
        <w:t>写</w:t>
      </w:r>
      <w:r>
        <w:rPr>
          <w:color w:val="FF0000"/>
          <w:sz w:val="24"/>
        </w:rPr>
        <w:t>内容</w:t>
      </w:r>
      <w:r>
        <w:rPr>
          <w:rFonts w:hint="eastAsia"/>
          <w:color w:val="FF0000"/>
          <w:sz w:val="24"/>
        </w:rPr>
        <w:t>）</w:t>
      </w:r>
    </w:p>
    <w:p>
      <w:pPr>
        <w:widowControl/>
        <w:shd w:val="clear" w:color="auto" w:fill="FFFFFF"/>
        <w:spacing w:line="480" w:lineRule="auto"/>
        <w:ind w:firstLine="420"/>
        <w:rPr>
          <w:color w:val="FF0000"/>
          <w:sz w:val="24"/>
        </w:rPr>
      </w:pPr>
      <w:r>
        <w:rPr>
          <w:rFonts w:hint="eastAsia"/>
          <w:color w:val="FF0000"/>
          <w:sz w:val="24"/>
        </w:rPr>
        <w:t>……</w:t>
      </w:r>
    </w:p>
    <w:p>
      <w:pPr>
        <w:widowControl/>
        <w:shd w:val="clear" w:color="auto" w:fill="FFFFFF"/>
        <w:spacing w:line="480" w:lineRule="auto"/>
        <w:ind w:firstLine="420"/>
        <w:rPr>
          <w:color w:val="FF0000"/>
          <w:sz w:val="24"/>
        </w:rPr>
      </w:pPr>
      <w:r>
        <w:rPr>
          <w:rFonts w:hint="eastAsia"/>
          <w:color w:val="FF0000"/>
          <w:sz w:val="24"/>
        </w:rPr>
        <w:t>注：如有</w:t>
      </w:r>
      <w:r>
        <w:rPr>
          <w:color w:val="FF0000"/>
          <w:sz w:val="24"/>
        </w:rPr>
        <w:t>多个</w:t>
      </w:r>
      <w:r>
        <w:rPr>
          <w:rFonts w:hint="eastAsia"/>
          <w:color w:val="FF0000"/>
          <w:sz w:val="24"/>
        </w:rPr>
        <w:t>标的，各</w:t>
      </w:r>
      <w:r>
        <w:rPr>
          <w:color w:val="FF0000"/>
          <w:sz w:val="24"/>
        </w:rPr>
        <w:t>标的品目</w:t>
      </w:r>
      <w:r>
        <w:rPr>
          <w:rFonts w:hint="eastAsia"/>
          <w:color w:val="FF0000"/>
          <w:sz w:val="24"/>
        </w:rPr>
        <w:t>预算相加</w:t>
      </w:r>
      <w:r>
        <w:rPr>
          <w:color w:val="FF0000"/>
          <w:sz w:val="24"/>
        </w:rPr>
        <w:t>应等于</w:t>
      </w:r>
      <w:r>
        <w:rPr>
          <w:rFonts w:hint="eastAsia"/>
          <w:color w:val="FF0000"/>
          <w:sz w:val="24"/>
        </w:rPr>
        <w:t>该</w:t>
      </w:r>
      <w:r>
        <w:rPr>
          <w:color w:val="FF0000"/>
          <w:sz w:val="24"/>
        </w:rPr>
        <w:t>包</w:t>
      </w:r>
      <w:r>
        <w:rPr>
          <w:rFonts w:hint="eastAsia"/>
          <w:color w:val="FF0000"/>
          <w:sz w:val="24"/>
        </w:rPr>
        <w:t>总预算（最高</w:t>
      </w:r>
      <w:r>
        <w:rPr>
          <w:color w:val="FF0000"/>
          <w:sz w:val="24"/>
        </w:rPr>
        <w:t>限价</w:t>
      </w:r>
      <w:r>
        <w:rPr>
          <w:rFonts w:hint="eastAsia"/>
          <w:color w:val="FF0000"/>
          <w:sz w:val="24"/>
        </w:rPr>
        <w:t>）。</w:t>
      </w:r>
    </w:p>
    <w:p>
      <w:pPr>
        <w:widowControl/>
        <w:shd w:val="clear" w:color="auto" w:fill="FFFFFF"/>
        <w:spacing w:line="480" w:lineRule="auto"/>
        <w:ind w:firstLine="420"/>
        <w:rPr>
          <w:rFonts w:ascii="宋体" w:hAnsi="宋体" w:eastAsia="宋体" w:cs="宋体"/>
          <w:color w:val="FF0000"/>
          <w:kern w:val="0"/>
          <w:sz w:val="24"/>
          <w:szCs w:val="24"/>
        </w:rPr>
      </w:pPr>
      <w:r>
        <w:rPr>
          <w:rFonts w:hint="eastAsia" w:ascii="宋体" w:hAnsi="宋体" w:eastAsia="宋体" w:cs="宋体"/>
          <w:color w:val="FF0000"/>
          <w:kern w:val="0"/>
          <w:sz w:val="24"/>
          <w:szCs w:val="24"/>
        </w:rPr>
        <w:t>（五）执行政府采购促进中小企业发展的相关政策</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 xml:space="preserve">1.□☑专门面向中小企业采购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□不专门面向中小企业采购</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 xml:space="preserve">面向的企业规模：☑中小企业 </w:t>
      </w:r>
      <w:r>
        <w:rPr>
          <w:rFonts w:ascii="宋体" w:hAnsi="宋体" w:eastAsia="宋体" w:cs="宋体"/>
          <w:kern w:val="0"/>
          <w:sz w:val="24"/>
          <w:szCs w:val="24"/>
        </w:rPr>
        <w:t xml:space="preserve"> </w:t>
      </w:r>
      <w:r>
        <w:rPr>
          <w:rFonts w:hint="eastAsia" w:ascii="宋体" w:hAnsi="宋体" w:eastAsia="宋体" w:cs="宋体"/>
          <w:kern w:val="0"/>
          <w:sz w:val="24"/>
          <w:szCs w:val="24"/>
        </w:rPr>
        <w:t>□小微企业</w:t>
      </w:r>
    </w:p>
    <w:p>
      <w:pPr>
        <w:widowControl/>
        <w:shd w:val="clear" w:color="auto" w:fill="FFFFFF"/>
        <w:spacing w:line="480" w:lineRule="auto"/>
        <w:ind w:left="315" w:leftChars="150" w:firstLine="480" w:firstLineChars="200"/>
        <w:rPr>
          <w:rFonts w:ascii="宋体" w:hAnsi="宋体" w:eastAsia="宋体" w:cs="宋体"/>
          <w:kern w:val="0"/>
          <w:sz w:val="24"/>
          <w:szCs w:val="24"/>
        </w:rPr>
      </w:pPr>
      <w:r>
        <w:rPr>
          <w:rFonts w:hint="eastAsia" w:ascii="宋体" w:hAnsi="宋体" w:eastAsia="宋体" w:cs="宋体"/>
          <w:kern w:val="0"/>
          <w:sz w:val="24"/>
          <w:szCs w:val="24"/>
        </w:rPr>
        <w:t>预留形式：□项目整体预留  ☑设置专门采购包  □以联合体形式参加  □要求合同分包</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预留比例：    %</w:t>
      </w:r>
    </w:p>
    <w:p>
      <w:pPr>
        <w:widowControl/>
        <w:shd w:val="clear" w:color="auto" w:fill="FFFFFF"/>
        <w:spacing w:line="480" w:lineRule="auto"/>
        <w:ind w:firstLine="840" w:firstLineChars="350"/>
        <w:rPr>
          <w:rFonts w:ascii="宋体" w:hAnsi="宋体" w:eastAsia="宋体" w:cs="宋体"/>
          <w:kern w:val="0"/>
          <w:sz w:val="24"/>
          <w:szCs w:val="24"/>
        </w:rPr>
      </w:pPr>
      <w:r>
        <w:rPr>
          <w:rFonts w:hint="eastAsia" w:ascii="宋体" w:hAnsi="宋体" w:eastAsia="宋体" w:cs="宋体"/>
          <w:kern w:val="0"/>
          <w:sz w:val="24"/>
          <w:szCs w:val="24"/>
        </w:rPr>
        <w:t>不专门面向的原因：</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□法律法规和国家有关政策明确规定优先或者应当面向事业单位、社会组织等非企业主体采购的</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□因确需使用不可替代的专利、专有技术，基础设施限制，或者提供特定公共服务等原因，只能从中小企业之外的供应商处采购的</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□按照本办法规定预留采购份额无法确保充分供应、充分竞争，或者存在可能影响政府采购目标实现的情形</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□框架协议采购项目</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□省级以上人民政府财政部门规定的其他情形</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i/>
          <w:iCs/>
          <w:color w:val="333333"/>
          <w:kern w:val="0"/>
          <w:sz w:val="24"/>
          <w:szCs w:val="24"/>
        </w:rPr>
        <w:t>注：监狱企业和残疾人福利单位视同小微企业。</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（六）是否采购环境标识产品：是□ 否□</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（七）是否采购节能产品：是□ 否□</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（八）项目的采购标的是否包含进口产品：是□ 否□</w:t>
      </w:r>
    </w:p>
    <w:p>
      <w:pPr>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（九）采购标的是否属于政府购买服务：是□（填以下信息）  否</w:t>
      </w:r>
      <w:r>
        <w:rPr>
          <w:rFonts w:hint="eastAsia" w:ascii="宋体" w:hAnsi="宋体" w:eastAsia="宋体" w:cs="宋体"/>
          <w:color w:val="333333"/>
          <w:kern w:val="0"/>
          <w:sz w:val="24"/>
          <w:szCs w:val="24"/>
        </w:rPr>
        <w:sym w:font="Wingdings" w:char="F0FE"/>
      </w:r>
    </w:p>
    <w:p>
      <w:pPr>
        <w:ind w:firstLine="600" w:firstLineChars="250"/>
        <w:rPr>
          <w:rFonts w:ascii="宋体" w:hAnsi="宋体" w:eastAsia="宋体" w:cs="宋体"/>
          <w:color w:val="333333"/>
          <w:kern w:val="0"/>
          <w:sz w:val="24"/>
          <w:szCs w:val="24"/>
        </w:rPr>
      </w:pPr>
      <w:r>
        <w:rPr>
          <w:rFonts w:hint="eastAsia" w:ascii="宋体" w:hAnsi="宋体" w:eastAsia="宋体" w:cs="宋体"/>
          <w:color w:val="333333"/>
          <w:kern w:val="0"/>
          <w:sz w:val="24"/>
          <w:szCs w:val="24"/>
        </w:rPr>
        <w:t>政府购买服务的分类：□政府履职所需辅助性服务 □政府向社会公众提供的公共服务</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（十）是否属于政务信息系统项目：是□  否</w:t>
      </w:r>
      <w:r>
        <w:rPr>
          <w:rFonts w:hint="eastAsia" w:ascii="宋体" w:hAnsi="宋体" w:eastAsia="宋体" w:cs="宋体"/>
          <w:color w:val="333333"/>
          <w:kern w:val="0"/>
          <w:sz w:val="24"/>
          <w:szCs w:val="24"/>
        </w:rPr>
        <w:sym w:font="Wingdings" w:char="F0FE"/>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（十一）是否属于高校、科研院所的科研仪器设备采购：是□  否</w:t>
      </w:r>
      <w:r>
        <w:rPr>
          <w:rFonts w:hint="eastAsia" w:ascii="宋体" w:hAnsi="宋体" w:eastAsia="宋体" w:cs="宋体"/>
          <w:color w:val="333333"/>
          <w:kern w:val="0"/>
          <w:sz w:val="24"/>
          <w:szCs w:val="24"/>
        </w:rPr>
        <w:sym w:font="Wingdings" w:char="F0FE"/>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（十二）是否属于PPP项目：是□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w:char="F0FE"/>
      </w: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四、项目需求及分包情况、采购标的</w:t>
      </w:r>
    </w:p>
    <w:p>
      <w:pPr>
        <w:widowControl/>
        <w:shd w:val="clear" w:color="auto" w:fill="FFFFFF"/>
        <w:spacing w:line="480" w:lineRule="auto"/>
        <w:outlineLvl w:val="4"/>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供应商一般资格要求</w:t>
      </w:r>
      <w:r>
        <w:rPr>
          <w:rFonts w:ascii="宋体" w:hAnsi="宋体" w:eastAsia="宋体" w:cs="宋体"/>
          <w:bCs/>
          <w:color w:val="333333"/>
          <w:kern w:val="0"/>
          <w:sz w:val="24"/>
          <w:szCs w:val="24"/>
        </w:rPr>
        <w:t>：</w:t>
      </w:r>
    </w:p>
    <w:tbl>
      <w:tblPr>
        <w:tblStyle w:val="16"/>
        <w:tblpPr w:leftFromText="180" w:rightFromText="180" w:horzAnchor="margin" w:tblpXSpec="center" w:tblpY="-1440"/>
        <w:tblW w:w="10875" w:type="dxa"/>
        <w:tblInd w:w="0" w:type="dxa"/>
        <w:shd w:val="clear" w:color="auto" w:fill="FFFFFF"/>
        <w:tblLayout w:type="fixed"/>
        <w:tblCellMar>
          <w:top w:w="0" w:type="dxa"/>
          <w:left w:w="0" w:type="dxa"/>
          <w:bottom w:w="0" w:type="dxa"/>
          <w:right w:w="0" w:type="dxa"/>
        </w:tblCellMar>
      </w:tblPr>
      <w:tblGrid>
        <w:gridCol w:w="487"/>
        <w:gridCol w:w="4803"/>
        <w:gridCol w:w="5585"/>
      </w:tblGrid>
      <w:tr>
        <w:trPr>
          <w:trHeight w:val="480" w:hRule="atLeast"/>
          <w:tblHeader/>
        </w:trPr>
        <w:tc>
          <w:tcPr>
            <w:tcW w:w="487"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序号</w:t>
            </w:r>
          </w:p>
        </w:tc>
        <w:tc>
          <w:tcPr>
            <w:tcW w:w="4803"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资格要求名称</w:t>
            </w:r>
          </w:p>
        </w:tc>
        <w:tc>
          <w:tcPr>
            <w:tcW w:w="5585"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资格要求详细说明</w:t>
            </w:r>
          </w:p>
        </w:tc>
      </w:tr>
      <w:tr>
        <w:trPr>
          <w:trHeight w:val="480" w:hRule="atLeast"/>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投标人应具有独立承担民事责任的能力</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rPr>
          <w:trHeight w:val="480" w:hRule="atLeast"/>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rPr>
          <w:trHeight w:val="480" w:hRule="atLeast"/>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未被列入失信被执行人、重大税收违法案件当事人名单、政府采购严重违法失信行为记录名单</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rPr>
          <w:trHeight w:val="480" w:hRule="atLeast"/>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4</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未处于被行政部门禁止参与政府采购活动的期限内</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trPr>
          <w:trHeight w:val="480" w:hRule="atLeast"/>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行贿犯罪记录</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rPr>
          <w:trHeight w:val="480" w:hRule="atLeast"/>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6</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单位负责人为同一人或者存在直接控股、管理关系的不同供应商，不得参加同一项目的投标</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rPr>
          <w:trHeight w:val="480" w:hRule="atLeast"/>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7</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投标文件签章</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投标文件加盖有投标人（法定名称）电子签章。【说明：无须提供证明材料，上传空白页即可，不对本项上传的材料作资格审查】</w:t>
            </w:r>
          </w:p>
        </w:tc>
      </w:tr>
      <w:tr>
        <w:trPr>
          <w:trHeight w:val="480" w:hRule="atLeast"/>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8</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投标文件资格响应文件的语言</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语言符合招标文件的要求。 【说明：投标人无须提供证明材料，上传空白页即可，不对本项上传的材料作资格审查】</w:t>
            </w:r>
          </w:p>
        </w:tc>
      </w:tr>
      <w:tr>
        <w:trPr>
          <w:trHeight w:val="480" w:hRule="atLeast"/>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9</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法律、行政法规规定的其他条件</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采购人对法律、行政法规规定的其他条件无其他特殊要求，投标人可不提供证明材料。 【说明：投标人无须提供证明材料，上传空白页即可，不对本项上传的材料作资格审查】</w:t>
            </w:r>
          </w:p>
        </w:tc>
      </w:tr>
      <w:tr>
        <w:trPr>
          <w:trHeight w:val="480" w:hRule="atLeast"/>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10</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不属于国家相关法律法规规定的其他禁止参加投标的情形</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pPr>
        <w:widowControl/>
        <w:shd w:val="clear" w:color="auto" w:fill="FFFFFF"/>
        <w:spacing w:line="480" w:lineRule="auto"/>
        <w:outlineLvl w:val="4"/>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供应商特殊资格要求（如有）：</w:t>
      </w:r>
    </w:p>
    <w:p>
      <w:pPr>
        <w:widowControl/>
        <w:shd w:val="clear" w:color="auto" w:fill="FFFFFF"/>
        <w:spacing w:line="480" w:lineRule="auto"/>
        <w:ind w:firstLine="420"/>
        <w:outlineLvl w:val="4"/>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（1）符合《中华人民共和国政府采购法》第二十二条的规定；</w:t>
      </w:r>
    </w:p>
    <w:p>
      <w:pPr>
        <w:widowControl/>
        <w:shd w:val="clear" w:color="auto" w:fill="FFFFFF"/>
        <w:spacing w:line="480" w:lineRule="auto"/>
        <w:ind w:firstLine="420"/>
        <w:outlineLvl w:val="4"/>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（2）具有良好的商业信誉和健全的财务会计制度；</w:t>
      </w:r>
    </w:p>
    <w:p>
      <w:pPr>
        <w:widowControl/>
        <w:shd w:val="clear" w:color="auto" w:fill="FFFFFF"/>
        <w:spacing w:line="480" w:lineRule="auto"/>
        <w:ind w:firstLine="420"/>
        <w:outlineLvl w:val="4"/>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（3）参加本次采购活动前三年内，在经营活动中没有重大违法违规记录。</w:t>
      </w:r>
    </w:p>
    <w:p>
      <w:pPr>
        <w:widowControl/>
        <w:shd w:val="clear" w:color="auto" w:fill="FFFFFF"/>
        <w:spacing w:line="480" w:lineRule="auto"/>
        <w:ind w:firstLine="420"/>
        <w:outlineLvl w:val="4"/>
      </w:pPr>
      <w:r>
        <w:rPr>
          <w:rFonts w:hint="eastAsia" w:ascii="宋体" w:hAnsi="宋体" w:eastAsia="宋体" w:cs="宋体"/>
          <w:bCs/>
          <w:color w:val="333333"/>
          <w:kern w:val="0"/>
          <w:sz w:val="24"/>
          <w:szCs w:val="24"/>
        </w:rPr>
        <w:t>（4）注册资金500万元以上；</w:t>
      </w:r>
    </w:p>
    <w:p>
      <w:pPr>
        <w:widowControl/>
        <w:shd w:val="clear" w:color="auto" w:fill="FFFFFF"/>
        <w:spacing w:line="480" w:lineRule="auto"/>
        <w:ind w:firstLine="420"/>
        <w:outlineLvl w:val="4"/>
        <w:rPr>
          <w:rFonts w:ascii="宋体" w:hAnsi="宋体" w:eastAsia="宋体" w:cs="宋体"/>
          <w:color w:val="FF0000"/>
          <w:kern w:val="0"/>
          <w:sz w:val="24"/>
          <w:szCs w:val="24"/>
        </w:rPr>
      </w:pPr>
      <w:r>
        <w:rPr>
          <w:rFonts w:hint="eastAsia" w:ascii="宋体" w:hAnsi="宋体" w:eastAsia="宋体" w:cs="宋体"/>
          <w:color w:val="FF0000"/>
          <w:kern w:val="0"/>
          <w:sz w:val="24"/>
          <w:szCs w:val="24"/>
        </w:rPr>
        <w:t>技术要求与标准：</w:t>
      </w:r>
    </w:p>
    <w:p>
      <w:pPr>
        <w:widowControl/>
        <w:shd w:val="clear" w:color="auto" w:fill="FFFFFF"/>
        <w:spacing w:line="480" w:lineRule="auto"/>
        <w:ind w:firstLine="420"/>
        <w:outlineLvl w:val="4"/>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pPr>
        <w:widowControl/>
        <w:shd w:val="clear" w:color="auto" w:fill="FFFFFF"/>
        <w:spacing w:line="480" w:lineRule="auto"/>
        <w:ind w:firstLine="420"/>
        <w:outlineLvl w:val="4"/>
        <w:rPr>
          <w:color w:val="FF0000"/>
          <w:sz w:val="24"/>
        </w:rPr>
      </w:pPr>
      <w:r>
        <w:rPr>
          <w:rFonts w:hint="eastAsia"/>
          <w:color w:val="FF0000"/>
          <w:sz w:val="24"/>
        </w:rPr>
        <w:t>品目信息一的</w:t>
      </w:r>
      <w:r>
        <w:rPr>
          <w:color w:val="FF0000"/>
          <w:sz w:val="24"/>
        </w:rPr>
        <w:t>标的参数：</w:t>
      </w:r>
    </w:p>
    <w:p>
      <w:pPr>
        <w:pStyle w:val="5"/>
        <w:numPr>
          <w:ilvl w:val="0"/>
          <w:numId w:val="1"/>
        </w:numPr>
        <w:rPr>
          <w:sz w:val="28"/>
          <w:szCs w:val="28"/>
        </w:rPr>
      </w:pPr>
      <w:r>
        <w:rPr>
          <w:rFonts w:hint="eastAsia"/>
          <w:sz w:val="28"/>
          <w:szCs w:val="28"/>
        </w:rPr>
        <w:t>基础信息管理</w:t>
      </w:r>
    </w:p>
    <w:p>
      <w:pPr>
        <w:pStyle w:val="60"/>
        <w:numPr>
          <w:ilvl w:val="0"/>
          <w:numId w:val="2"/>
        </w:numPr>
        <w:spacing w:line="360" w:lineRule="auto"/>
        <w:ind w:firstLineChars="0"/>
        <w:rPr>
          <w:rFonts w:ascii="宋体" w:hAnsi="宋体" w:eastAsia="宋体"/>
          <w:b/>
          <w:bCs/>
          <w:sz w:val="24"/>
          <w:szCs w:val="24"/>
        </w:rPr>
      </w:pPr>
      <w:r>
        <w:rPr>
          <w:rFonts w:hint="eastAsia" w:ascii="宋体" w:hAnsi="宋体" w:eastAsia="宋体"/>
          <w:b/>
          <w:bCs/>
          <w:sz w:val="24"/>
          <w:szCs w:val="24"/>
        </w:rPr>
        <w:t>用户管理</w:t>
      </w:r>
    </w:p>
    <w:p>
      <w:pPr>
        <w:pStyle w:val="60"/>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支持增、删、查、改人员信息，支持批量添加、修改人员信息，可以添加人员进入多部门；</w:t>
      </w:r>
    </w:p>
    <w:p>
      <w:pPr>
        <w:pStyle w:val="60"/>
        <w:numPr>
          <w:ilvl w:val="0"/>
          <w:numId w:val="3"/>
        </w:numPr>
        <w:spacing w:line="360" w:lineRule="auto"/>
        <w:ind w:firstLineChars="0"/>
        <w:rPr>
          <w:rFonts w:ascii="宋体" w:hAnsi="宋体" w:eastAsia="宋体"/>
          <w:sz w:val="24"/>
          <w:szCs w:val="24"/>
        </w:rPr>
      </w:pPr>
      <w:r>
        <w:rPr>
          <w:rFonts w:ascii="宋体" w:hAnsi="宋体" w:eastAsia="宋体"/>
          <w:sz w:val="24"/>
          <w:szCs w:val="24"/>
        </w:rPr>
        <w:t>支持批量、单独把人员移出单位，移出单位的人员可以恢复；</w:t>
      </w:r>
    </w:p>
    <w:p>
      <w:pPr>
        <w:pStyle w:val="60"/>
        <w:numPr>
          <w:ilvl w:val="0"/>
          <w:numId w:val="3"/>
        </w:numPr>
        <w:spacing w:line="360" w:lineRule="auto"/>
        <w:ind w:firstLineChars="0"/>
        <w:rPr>
          <w:rFonts w:ascii="宋体" w:hAnsi="宋体" w:eastAsia="宋体"/>
          <w:sz w:val="24"/>
          <w:szCs w:val="24"/>
        </w:rPr>
      </w:pPr>
      <w:r>
        <w:rPr>
          <w:rFonts w:ascii="宋体" w:hAnsi="宋体" w:eastAsia="宋体"/>
          <w:sz w:val="24"/>
          <w:szCs w:val="24"/>
        </w:rPr>
        <w:t>★可设置单位外用户加入单位的验证方式，支持不需要验证、学工号验证、密码验证、通过统一身份认证加单位四种方式；</w:t>
      </w:r>
    </w:p>
    <w:p>
      <w:pPr>
        <w:pStyle w:val="60"/>
        <w:numPr>
          <w:ilvl w:val="0"/>
          <w:numId w:val="3"/>
        </w:numPr>
        <w:spacing w:line="360" w:lineRule="auto"/>
        <w:ind w:firstLineChars="0"/>
        <w:rPr>
          <w:rFonts w:ascii="宋体" w:hAnsi="宋体" w:eastAsia="宋体"/>
          <w:sz w:val="24"/>
          <w:szCs w:val="24"/>
        </w:rPr>
      </w:pPr>
      <w:r>
        <w:rPr>
          <w:rFonts w:ascii="宋体" w:hAnsi="宋体" w:eastAsia="宋体"/>
          <w:sz w:val="24"/>
          <w:szCs w:val="24"/>
        </w:rPr>
        <w:t>可自定义人员角色，对角色人员进行添加、修改角色</w:t>
      </w:r>
      <w:r>
        <w:rPr>
          <w:rFonts w:hint="eastAsia" w:ascii="宋体" w:hAnsi="宋体" w:eastAsia="宋体"/>
          <w:sz w:val="24"/>
          <w:szCs w:val="24"/>
        </w:rPr>
        <w:t>，并且</w:t>
      </w:r>
      <w:r>
        <w:rPr>
          <w:rFonts w:ascii="宋体" w:hAnsi="宋体" w:eastAsia="宋体"/>
          <w:sz w:val="24"/>
          <w:szCs w:val="24"/>
        </w:rPr>
        <w:t>进行层级管理，可进行角色添加、调整、编辑、删除等操作；</w:t>
      </w:r>
    </w:p>
    <w:p>
      <w:pPr>
        <w:pStyle w:val="60"/>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可以为角色下的用户设置权限及管理范围；</w:t>
      </w:r>
    </w:p>
    <w:p>
      <w:pPr>
        <w:pStyle w:val="60"/>
        <w:numPr>
          <w:ilvl w:val="0"/>
          <w:numId w:val="3"/>
        </w:numPr>
        <w:spacing w:line="360" w:lineRule="auto"/>
        <w:ind w:firstLineChars="0"/>
        <w:rPr>
          <w:rFonts w:ascii="宋体" w:hAnsi="宋体" w:eastAsia="宋体"/>
          <w:sz w:val="24"/>
          <w:szCs w:val="24"/>
        </w:rPr>
      </w:pPr>
      <w:r>
        <w:rPr>
          <w:rFonts w:ascii="宋体" w:hAnsi="宋体" w:eastAsia="宋体"/>
          <w:sz w:val="24"/>
          <w:szCs w:val="24"/>
        </w:rPr>
        <w:t>可创新</w:t>
      </w:r>
      <w:r>
        <w:rPr>
          <w:rFonts w:hint="eastAsia" w:ascii="宋体" w:hAnsi="宋体" w:eastAsia="宋体"/>
          <w:sz w:val="24"/>
          <w:szCs w:val="24"/>
        </w:rPr>
        <w:t>教研室</w:t>
      </w:r>
      <w:r>
        <w:rPr>
          <w:rFonts w:ascii="宋体" w:hAnsi="宋体" w:eastAsia="宋体"/>
          <w:sz w:val="24"/>
          <w:szCs w:val="24"/>
        </w:rPr>
        <w:t>的组织架构并进行添加、删除、修改、批量操作等；</w:t>
      </w:r>
    </w:p>
    <w:p>
      <w:pPr>
        <w:pStyle w:val="60"/>
        <w:numPr>
          <w:ilvl w:val="0"/>
          <w:numId w:val="3"/>
        </w:numPr>
        <w:spacing w:line="360" w:lineRule="auto"/>
        <w:ind w:firstLineChars="0"/>
        <w:rPr>
          <w:rFonts w:ascii="宋体" w:hAnsi="宋体" w:eastAsia="宋体"/>
          <w:sz w:val="24"/>
          <w:szCs w:val="24"/>
        </w:rPr>
      </w:pPr>
      <w:r>
        <w:rPr>
          <w:rFonts w:ascii="宋体" w:hAnsi="宋体" w:eastAsia="宋体"/>
          <w:sz w:val="24"/>
          <w:szCs w:val="24"/>
        </w:rPr>
        <w:t>可对组织架构人员进行管理和修改，支持设置部门主管。</w:t>
      </w:r>
    </w:p>
    <w:p>
      <w:pPr>
        <w:pStyle w:val="60"/>
        <w:numPr>
          <w:ilvl w:val="0"/>
          <w:numId w:val="2"/>
        </w:numPr>
        <w:spacing w:line="360" w:lineRule="auto"/>
        <w:ind w:firstLineChars="0"/>
        <w:rPr>
          <w:rFonts w:ascii="宋体" w:hAnsi="宋体" w:eastAsia="宋体"/>
          <w:b/>
          <w:bCs/>
          <w:sz w:val="24"/>
          <w:szCs w:val="24"/>
        </w:rPr>
      </w:pPr>
      <w:r>
        <w:rPr>
          <w:rFonts w:hint="eastAsia" w:ascii="宋体" w:hAnsi="宋体" w:eastAsia="宋体"/>
          <w:b/>
          <w:bCs/>
          <w:sz w:val="24"/>
          <w:szCs w:val="24"/>
        </w:rPr>
        <w:t>空间管理</w:t>
      </w:r>
    </w:p>
    <w:p>
      <w:pPr>
        <w:pStyle w:val="60"/>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可以按照角色进行个人空间配置，教研室资源共享、教研室课程共建、互动、信息查询等都通过空间完成。</w:t>
      </w:r>
      <w:r>
        <w:rPr>
          <w:rFonts w:ascii="宋体" w:hAnsi="宋体" w:eastAsia="宋体"/>
          <w:sz w:val="24"/>
          <w:szCs w:val="24"/>
        </w:rPr>
        <w:t xml:space="preserve"> </w:t>
      </w:r>
    </w:p>
    <w:p>
      <w:pPr>
        <w:pStyle w:val="60"/>
        <w:numPr>
          <w:ilvl w:val="0"/>
          <w:numId w:val="4"/>
        </w:numPr>
        <w:spacing w:line="360" w:lineRule="auto"/>
        <w:ind w:firstLineChars="0"/>
        <w:rPr>
          <w:rFonts w:ascii="宋体" w:hAnsi="宋体" w:eastAsia="宋体"/>
          <w:sz w:val="24"/>
          <w:szCs w:val="24"/>
        </w:rPr>
      </w:pPr>
      <w:r>
        <w:rPr>
          <w:rFonts w:ascii="宋体" w:hAnsi="宋体" w:eastAsia="宋体"/>
          <w:sz w:val="24"/>
          <w:szCs w:val="24"/>
        </w:rPr>
        <w:t>★云盘：可以将文件上传至云盘中，随时随地进行下载，并可以在课程建设</w:t>
      </w:r>
      <w:r>
        <w:rPr>
          <w:rFonts w:hint="eastAsia" w:ascii="宋体" w:hAnsi="宋体" w:eastAsia="宋体"/>
          <w:sz w:val="24"/>
          <w:szCs w:val="24"/>
        </w:rPr>
        <w:t>、笔记撰写</w:t>
      </w:r>
      <w:r>
        <w:rPr>
          <w:rFonts w:ascii="宋体" w:hAnsi="宋体" w:eastAsia="宋体"/>
          <w:sz w:val="24"/>
          <w:szCs w:val="24"/>
        </w:rPr>
        <w:t>时引用云盘的资源。提供一个PC版客户端，可以设定一个文件夹，文件夹内容自动与云盘内容保持同步，方便批量上传资源。</w:t>
      </w:r>
    </w:p>
    <w:p>
      <w:pPr>
        <w:pStyle w:val="60"/>
        <w:numPr>
          <w:ilvl w:val="0"/>
          <w:numId w:val="4"/>
        </w:numPr>
        <w:spacing w:line="360" w:lineRule="auto"/>
        <w:ind w:firstLineChars="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笔记：支持进行笔记记录，记录时支持添加文档、视频、图片、音频等附件，并且支持选择一键同步云盘中存储的文件。</w:t>
      </w:r>
    </w:p>
    <w:p>
      <w:pPr>
        <w:pStyle w:val="60"/>
        <w:numPr>
          <w:ilvl w:val="0"/>
          <w:numId w:val="4"/>
        </w:numPr>
        <w:spacing w:line="360" w:lineRule="auto"/>
        <w:ind w:firstLineChars="0"/>
        <w:rPr>
          <w:rFonts w:ascii="宋体" w:hAnsi="宋体" w:eastAsia="宋体"/>
          <w:sz w:val="24"/>
          <w:szCs w:val="24"/>
        </w:rPr>
      </w:pPr>
      <w:r>
        <w:rPr>
          <w:rFonts w:ascii="宋体" w:hAnsi="宋体" w:eastAsia="宋体"/>
          <w:sz w:val="24"/>
          <w:szCs w:val="24"/>
        </w:rPr>
        <w:t>消息：可查询</w:t>
      </w:r>
      <w:r>
        <w:rPr>
          <w:rFonts w:hint="eastAsia" w:ascii="宋体" w:hAnsi="宋体" w:eastAsia="宋体"/>
          <w:sz w:val="24"/>
          <w:szCs w:val="24"/>
        </w:rPr>
        <w:t>虚拟教研室研修平台</w:t>
      </w:r>
      <w:r>
        <w:rPr>
          <w:rFonts w:ascii="宋体" w:hAnsi="宋体" w:eastAsia="宋体"/>
          <w:sz w:val="24"/>
          <w:szCs w:val="24"/>
        </w:rPr>
        <w:t>内部消息通知、发送站内信、接收发送课程通知、各项业务消息提醒等。</w:t>
      </w:r>
    </w:p>
    <w:p>
      <w:pPr>
        <w:pStyle w:val="60"/>
        <w:numPr>
          <w:ilvl w:val="0"/>
          <w:numId w:val="2"/>
        </w:numPr>
        <w:spacing w:line="360" w:lineRule="auto"/>
        <w:ind w:firstLineChars="0"/>
        <w:rPr>
          <w:rFonts w:ascii="宋体" w:hAnsi="宋体" w:eastAsia="宋体"/>
          <w:b/>
          <w:bCs/>
          <w:sz w:val="24"/>
          <w:szCs w:val="24"/>
        </w:rPr>
      </w:pPr>
      <w:r>
        <w:rPr>
          <w:rFonts w:hint="eastAsia" w:ascii="宋体" w:hAnsi="宋体" w:eastAsia="宋体"/>
          <w:b/>
          <w:bCs/>
          <w:sz w:val="24"/>
          <w:szCs w:val="24"/>
        </w:rPr>
        <w:t>教研室信息管理</w:t>
      </w:r>
    </w:p>
    <w:p>
      <w:pPr>
        <w:pStyle w:val="60"/>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可在该分类下查看教研室文本、图片、视频信息类介绍，并且支持进入c教研成果查看中我教的课程、我学的课，并可新建文件夹及新建课程；</w:t>
      </w:r>
    </w:p>
    <w:p>
      <w:pPr>
        <w:pStyle w:val="60"/>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★管理教研组成员，显示成员全部信息，能够查看教研日历，全部日期下的日历样式展示，可按照年、月筛选当日是否存在教研活动。</w:t>
      </w:r>
    </w:p>
    <w:p>
      <w:pPr>
        <w:pStyle w:val="5"/>
        <w:numPr>
          <w:ilvl w:val="0"/>
          <w:numId w:val="1"/>
        </w:numPr>
        <w:rPr>
          <w:sz w:val="28"/>
          <w:szCs w:val="28"/>
        </w:rPr>
      </w:pPr>
      <w:r>
        <w:rPr>
          <w:rFonts w:hint="eastAsia"/>
          <w:sz w:val="28"/>
          <w:szCs w:val="28"/>
        </w:rPr>
        <w:t>教研方式管理</w:t>
      </w:r>
    </w:p>
    <w:p>
      <w:pPr>
        <w:pStyle w:val="60"/>
        <w:numPr>
          <w:ilvl w:val="0"/>
          <w:numId w:val="6"/>
        </w:numPr>
        <w:spacing w:line="360" w:lineRule="auto"/>
        <w:ind w:firstLineChars="0"/>
        <w:rPr>
          <w:rFonts w:ascii="宋体" w:hAnsi="宋体" w:eastAsia="宋体"/>
          <w:sz w:val="24"/>
          <w:szCs w:val="24"/>
        </w:rPr>
      </w:pPr>
      <w:bookmarkStart w:id="0" w:name="_Hlk127476612"/>
      <w:r>
        <w:rPr>
          <w:rFonts w:hint="eastAsia" w:ascii="宋体" w:hAnsi="宋体" w:eastAsia="宋体"/>
          <w:sz w:val="24"/>
          <w:szCs w:val="24"/>
        </w:rPr>
        <w:t>★群聊：支持群聊功能（也可设置屏蔽提醒），教研组的老师可在群里内进行</w:t>
      </w:r>
      <w:bookmarkEnd w:id="0"/>
      <w:r>
        <w:rPr>
          <w:rFonts w:hint="eastAsia" w:ascii="宋体" w:hAnsi="宋体" w:eastAsia="宋体"/>
          <w:sz w:val="24"/>
          <w:szCs w:val="24"/>
        </w:rPr>
        <w:t>文字及语音沟通，并且支持在线拍摄、在线打卡、在线直播，并且支持一键分享云盘资料。</w:t>
      </w:r>
    </w:p>
    <w:p>
      <w:pPr>
        <w:pStyle w:val="60"/>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教研动态：可编辑发送信函给教研组指定人员，编辑界面支持富文本编辑，支持添加文档、视频、图片、音频等附件，并且支持选择一键同步云盘中存储的文件，可以查收、回复收到的教研动态，并可查看通知阅读状态，已读和未读名单。</w:t>
      </w:r>
    </w:p>
    <w:p>
      <w:pPr>
        <w:pStyle w:val="60"/>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教研圈子：提供教研圈子功能，可以设定圈子名称以及加入的权限，权限包括公开加入、邀请加入、审批加入等方式。并且支持共建圈子云盘，上传分享相关资源。支持新建讨论话题，回复支持上传文字、附件等内容，并支持点赞转发；</w:t>
      </w:r>
    </w:p>
    <w:p>
      <w:pPr>
        <w:pStyle w:val="5"/>
        <w:numPr>
          <w:ilvl w:val="0"/>
          <w:numId w:val="1"/>
        </w:numPr>
        <w:rPr>
          <w:sz w:val="28"/>
          <w:szCs w:val="28"/>
        </w:rPr>
      </w:pPr>
      <w:r>
        <w:rPr>
          <w:rFonts w:hint="eastAsia"/>
          <w:sz w:val="28"/>
          <w:szCs w:val="28"/>
        </w:rPr>
        <w:t>教研活动管理</w:t>
      </w:r>
    </w:p>
    <w:p>
      <w:pPr>
        <w:pStyle w:val="60"/>
        <w:numPr>
          <w:ilvl w:val="1"/>
          <w:numId w:val="7"/>
        </w:numPr>
        <w:spacing w:line="360" w:lineRule="auto"/>
        <w:ind w:firstLineChars="0"/>
        <w:rPr>
          <w:rFonts w:ascii="宋体" w:hAnsi="宋体" w:eastAsia="宋体"/>
          <w:sz w:val="24"/>
          <w:szCs w:val="24"/>
        </w:rPr>
      </w:pPr>
      <w:r>
        <w:rPr>
          <w:rFonts w:hint="eastAsia" w:ascii="宋体" w:hAnsi="宋体" w:eastAsia="宋体"/>
          <w:sz w:val="24"/>
          <w:szCs w:val="24"/>
        </w:rPr>
        <w:t>▲活动管理：支持多种教研活动，可设置活动标题、封面、活动开始结束时间、活动分类、主办方、举办形式，线下活动支持地图选点和详细地址、图文混排的活动介绍，支持直接预览文档内容，播放视频、活动奖励的学分和学时。</w:t>
      </w:r>
    </w:p>
    <w:p>
      <w:pPr>
        <w:pStyle w:val="60"/>
        <w:numPr>
          <w:ilvl w:val="1"/>
          <w:numId w:val="7"/>
        </w:numPr>
        <w:spacing w:line="360" w:lineRule="auto"/>
        <w:ind w:firstLineChars="0"/>
        <w:rPr>
          <w:rFonts w:ascii="宋体" w:hAnsi="宋体" w:eastAsia="宋体"/>
          <w:sz w:val="24"/>
          <w:szCs w:val="24"/>
        </w:rPr>
      </w:pPr>
      <w:r>
        <w:rPr>
          <w:rFonts w:hint="eastAsia" w:ascii="宋体" w:hAnsi="宋体" w:eastAsia="宋体"/>
          <w:sz w:val="24"/>
          <w:szCs w:val="24"/>
        </w:rPr>
        <w:t>▲活动报名采集信息：可以自定义添加报名表字段，用于采集信息，支持必要字段：单行输入、数字输入、时间日期输入、联系人输入、下拉选择输入、矩阵表格等，支持设置手机号或邮箱格式限制，可以设置字段的默认值，并且部分默认值可以根据报名用户自动填充，减少用户填写时间。</w:t>
      </w:r>
    </w:p>
    <w:p>
      <w:pPr>
        <w:pStyle w:val="60"/>
        <w:numPr>
          <w:ilvl w:val="1"/>
          <w:numId w:val="7"/>
        </w:numPr>
        <w:spacing w:line="360" w:lineRule="auto"/>
        <w:ind w:firstLineChars="0"/>
        <w:rPr>
          <w:rFonts w:ascii="宋体" w:hAnsi="宋体" w:eastAsia="宋体"/>
          <w:sz w:val="24"/>
          <w:szCs w:val="24"/>
        </w:rPr>
      </w:pPr>
      <w:r>
        <w:rPr>
          <w:rFonts w:hint="eastAsia" w:ascii="宋体" w:hAnsi="宋体" w:eastAsia="宋体"/>
          <w:sz w:val="24"/>
          <w:szCs w:val="24"/>
        </w:rPr>
        <w:t>移动端支持一键发布直播，直播结束后支持设置回看。</w:t>
      </w:r>
    </w:p>
    <w:p>
      <w:pPr>
        <w:pStyle w:val="60"/>
        <w:numPr>
          <w:ilvl w:val="1"/>
          <w:numId w:val="7"/>
        </w:numPr>
        <w:spacing w:line="360" w:lineRule="auto"/>
        <w:ind w:firstLineChars="0"/>
        <w:rPr>
          <w:rFonts w:ascii="宋体" w:hAnsi="宋体" w:eastAsia="宋体"/>
          <w:sz w:val="24"/>
          <w:szCs w:val="24"/>
        </w:rPr>
      </w:pPr>
      <w:r>
        <w:rPr>
          <w:rFonts w:hint="eastAsia" w:ascii="宋体" w:hAnsi="宋体" w:eastAsia="宋体"/>
          <w:sz w:val="24"/>
          <w:szCs w:val="24"/>
        </w:rPr>
        <w:t>★支持查看线上教研会议报告，包括统计直播的活动回顾、直播在线时长、发言次数，并可将统计数据导出为</w:t>
      </w:r>
      <w:r>
        <w:rPr>
          <w:rFonts w:ascii="宋体" w:hAnsi="宋体" w:eastAsia="宋体"/>
          <w:sz w:val="24"/>
          <w:szCs w:val="24"/>
        </w:rPr>
        <w:t>Excel表格。</w:t>
      </w:r>
    </w:p>
    <w:p>
      <w:pPr>
        <w:pStyle w:val="60"/>
        <w:numPr>
          <w:ilvl w:val="1"/>
          <w:numId w:val="7"/>
        </w:numPr>
        <w:spacing w:line="360" w:lineRule="auto"/>
        <w:ind w:firstLineChars="0"/>
        <w:rPr>
          <w:rFonts w:ascii="宋体" w:hAnsi="宋体" w:eastAsia="宋体"/>
          <w:sz w:val="24"/>
          <w:szCs w:val="24"/>
        </w:rPr>
      </w:pPr>
      <w:r>
        <w:rPr>
          <w:rFonts w:hint="eastAsia" w:ascii="宋体" w:hAnsi="宋体" w:eastAsia="宋体"/>
          <w:sz w:val="24"/>
          <w:szCs w:val="24"/>
        </w:rPr>
        <w:t>★基于平台共同开发课程，支持多人协同异地同步编辑课程，上传资料，提供便捷易用的课程编辑器，支持添加图片、文档、音视频、动画、网页链接、问卷、测验等，同时也需调用资源库中的图书、报纸、知识点、学术视频、期刊论文等海量资源。</w:t>
      </w:r>
    </w:p>
    <w:p>
      <w:pPr>
        <w:pStyle w:val="5"/>
        <w:numPr>
          <w:ilvl w:val="0"/>
          <w:numId w:val="1"/>
        </w:numPr>
        <w:rPr>
          <w:sz w:val="28"/>
          <w:szCs w:val="28"/>
        </w:rPr>
      </w:pPr>
      <w:r>
        <w:rPr>
          <w:rFonts w:hint="eastAsia"/>
          <w:sz w:val="28"/>
          <w:szCs w:val="28"/>
        </w:rPr>
        <w:t>教研资源共建</w:t>
      </w:r>
    </w:p>
    <w:p>
      <w:pPr>
        <w:pStyle w:val="60"/>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▲支持新建、删除、修改教研文件夹，并且支持针对每个文件夹分角色进行权限设置，比如可见、上传、删除、修改、保存等。</w:t>
      </w:r>
    </w:p>
    <w:p>
      <w:pPr>
        <w:pStyle w:val="60"/>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教研文件夹支持根据文件格式分类进行筛选，并且可以切换图标显示方式。</w:t>
      </w:r>
    </w:p>
    <w:p>
      <w:pPr>
        <w:pStyle w:val="60"/>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★支持进行文档共建，进行文字、图片、表格、水印等内容的添加，字体等版式调整。修改后支持查看协作记录和历史版本，并且支持预览历史版本后进行恢复至该版本。</w:t>
      </w:r>
    </w:p>
    <w:p>
      <w:pPr>
        <w:pStyle w:val="60"/>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▲电子教材：可进行电子教材增删改查，并支持操作记录查询；</w:t>
      </w:r>
    </w:p>
    <w:p>
      <w:pPr>
        <w:pStyle w:val="60"/>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教研会议：支持上传教研会议纪要以及录制的教研会议回放；</w:t>
      </w:r>
    </w:p>
    <w:p>
      <w:pPr>
        <w:pStyle w:val="60"/>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▲作业习题：支持上传、查看、下载作业习题，支持多人共建习题文档；</w:t>
      </w:r>
    </w:p>
    <w:p>
      <w:pPr>
        <w:pStyle w:val="60"/>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教学视频：支持上传、查看、下载转发教学视频；</w:t>
      </w:r>
    </w:p>
    <w:p>
      <w:pPr>
        <w:pStyle w:val="60"/>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教学大纲：支持上传、查看、下载教研组内整体教学大纲设计；</w:t>
      </w:r>
    </w:p>
    <w:p>
      <w:pPr>
        <w:pStyle w:val="60"/>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教学设计：支持上传、查看、下载教研组内教学设计文档，并且支持在线编辑；</w:t>
      </w:r>
    </w:p>
    <w:p>
      <w:pPr>
        <w:pStyle w:val="60"/>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▲教学课件：支持上传、查看、下载、共建教研组内教学课件，共建支持针对课件内容、版式进行调整；</w:t>
      </w:r>
    </w:p>
    <w:p>
      <w:pPr>
        <w:pStyle w:val="60"/>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▲知识图谱：知识图谱可创建多级知识点，知识点支持与课程内题库关联，支持查看某个知识点相关的资源以及与该资源相关的拓展资源。</w:t>
      </w:r>
    </w:p>
    <w:p>
      <w:pPr>
        <w:pStyle w:val="60"/>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支持新建表单问卷及表单问卷库，发布后教师可填写相应问卷，持创建者通过拖拽不同组件创建自己想要的应用样式，组件包括单选、多选、下拉框、下拉复选框、单行输入、多行输入、数字输入、日期选择、子表单、图片、附件、定位、说明文字等。</w:t>
      </w:r>
    </w:p>
    <w:p>
      <w:pPr>
        <w:pStyle w:val="5"/>
        <w:numPr>
          <w:ilvl w:val="0"/>
          <w:numId w:val="1"/>
        </w:numPr>
        <w:rPr>
          <w:sz w:val="28"/>
          <w:szCs w:val="28"/>
        </w:rPr>
      </w:pPr>
      <w:r>
        <w:rPr>
          <w:rFonts w:hint="eastAsia"/>
          <w:sz w:val="28"/>
          <w:szCs w:val="28"/>
        </w:rPr>
        <w:t>学习资料管理</w:t>
      </w:r>
    </w:p>
    <w:p>
      <w:pPr>
        <w:pStyle w:val="60"/>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支持老师通过平台进行线上课程学习，提供教研综合能力，教师可在学习空间浏览已报名的线上课程列表，进行课程学习。</w:t>
      </w:r>
    </w:p>
    <w:p>
      <w:pPr>
        <w:pStyle w:val="60"/>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★在线课程支持移动端、</w:t>
      </w:r>
      <w:r>
        <w:rPr>
          <w:rFonts w:ascii="宋体" w:hAnsi="宋体" w:eastAsia="宋体"/>
          <w:sz w:val="24"/>
          <w:szCs w:val="24"/>
        </w:rPr>
        <w:t>PC端断点续播，具备在线课程防作弊功能，支持课程播放页面防拖拽、防切换和课程学习闯关设置。</w:t>
      </w:r>
    </w:p>
    <w:p>
      <w:pPr>
        <w:pStyle w:val="60"/>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★在线培训课程体系应涵盖：理论学习、师德师风、热点专题、高校教师岗前培训</w:t>
      </w:r>
      <w:r>
        <w:rPr>
          <w:rFonts w:ascii="宋体" w:hAnsi="宋体" w:eastAsia="宋体"/>
          <w:sz w:val="24"/>
          <w:szCs w:val="24"/>
        </w:rPr>
        <w:t xml:space="preserve"> 、教育改革与教学理念、教学能力提升、信息技术应用、教师职业生涯规划、新冠防疫、大师访谈、示范课十大模块。</w:t>
      </w:r>
    </w:p>
    <w:p>
      <w:pPr>
        <w:pStyle w:val="60"/>
        <w:numPr>
          <w:ilvl w:val="0"/>
          <w:numId w:val="9"/>
        </w:numPr>
        <w:spacing w:line="360" w:lineRule="auto"/>
        <w:ind w:firstLineChars="0"/>
        <w:rPr>
          <w:rFonts w:ascii="宋体" w:hAnsi="宋体" w:eastAsia="宋体"/>
          <w:sz w:val="24"/>
          <w:szCs w:val="24"/>
        </w:rPr>
      </w:pPr>
      <w:r>
        <w:rPr>
          <w:rFonts w:ascii="宋体" w:hAnsi="宋体" w:eastAsia="宋体"/>
          <w:sz w:val="24"/>
          <w:szCs w:val="24"/>
        </w:rPr>
        <w:t>★在线培训课程数量不少于400门，提供定期课程更新服务。</w:t>
      </w:r>
    </w:p>
    <w:p>
      <w:pPr>
        <w:pStyle w:val="60"/>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★每位教师具有专属的学习空间，具备个人信息的留存、管理、维护，筛选时间段内的学时掌握教研数据，并支持导出功能；以时间轴的方式展示成长轨迹，可自定义成长标题、时间、备注。</w:t>
      </w:r>
    </w:p>
    <w:p>
      <w:pPr>
        <w:pStyle w:val="60"/>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★支持管理后台按院系、教师学号、姓名检索查询档案，可查看浏览教师档案内容，并对基础信息编辑。</w:t>
      </w:r>
    </w:p>
    <w:p>
      <w:pPr>
        <w:pStyle w:val="5"/>
        <w:numPr>
          <w:ilvl w:val="0"/>
          <w:numId w:val="1"/>
        </w:numPr>
        <w:rPr>
          <w:sz w:val="28"/>
          <w:szCs w:val="28"/>
        </w:rPr>
      </w:pPr>
      <w:r>
        <w:rPr>
          <w:rFonts w:hint="eastAsia"/>
          <w:sz w:val="28"/>
          <w:szCs w:val="28"/>
        </w:rPr>
        <w:t>数据统计模块</w:t>
      </w:r>
    </w:p>
    <w:p>
      <w:pPr>
        <w:pStyle w:val="60"/>
        <w:numPr>
          <w:ilvl w:val="0"/>
          <w:numId w:val="10"/>
        </w:numPr>
        <w:spacing w:line="360" w:lineRule="auto"/>
        <w:ind w:firstLineChars="0"/>
        <w:rPr>
          <w:rFonts w:ascii="宋体" w:hAnsi="宋体" w:eastAsia="宋体"/>
          <w:sz w:val="24"/>
          <w:szCs w:val="24"/>
        </w:rPr>
      </w:pPr>
      <w:r>
        <w:rPr>
          <w:rFonts w:hint="eastAsia" w:ascii="宋体" w:hAnsi="宋体" w:eastAsia="宋体"/>
          <w:sz w:val="24"/>
          <w:szCs w:val="24"/>
        </w:rPr>
        <w:t>▲支持查看每个教研组活动发布情况、资源使用情况、</w:t>
      </w:r>
      <w:r>
        <w:rPr>
          <w:rFonts w:ascii="宋体" w:hAnsi="宋体" w:eastAsia="宋体"/>
          <w:sz w:val="24"/>
          <w:szCs w:val="24"/>
        </w:rPr>
        <w:t>活动数Top5教师展示</w:t>
      </w:r>
      <w:r>
        <w:rPr>
          <w:rFonts w:hint="eastAsia" w:ascii="宋体" w:hAnsi="宋体" w:eastAsia="宋体"/>
          <w:sz w:val="24"/>
          <w:szCs w:val="24"/>
        </w:rPr>
        <w:t>、发帖数等活跃度维度数据，以及成员数、话题数、课程数、文件数、图片数、视频数等教研组基础信息数据。</w:t>
      </w:r>
    </w:p>
    <w:p>
      <w:pPr>
        <w:pStyle w:val="60"/>
        <w:numPr>
          <w:ilvl w:val="0"/>
          <w:numId w:val="10"/>
        </w:numPr>
        <w:spacing w:line="360" w:lineRule="auto"/>
        <w:ind w:firstLineChars="0"/>
        <w:rPr>
          <w:rFonts w:ascii="宋体" w:hAnsi="宋体" w:eastAsia="宋体"/>
          <w:sz w:val="24"/>
          <w:szCs w:val="24"/>
        </w:rPr>
      </w:pPr>
      <w:r>
        <w:rPr>
          <w:rFonts w:hint="eastAsia" w:ascii="宋体" w:hAnsi="宋体" w:eastAsia="宋体"/>
          <w:sz w:val="24"/>
          <w:szCs w:val="24"/>
        </w:rPr>
        <w:t>▲支持可视化数据大屏，查看教研室基本数据、活动情况等维度数据，便于管理者实时了解教研室运行情况。</w:t>
      </w:r>
    </w:p>
    <w:p>
      <w:pPr>
        <w:pStyle w:val="60"/>
        <w:numPr>
          <w:ilvl w:val="0"/>
          <w:numId w:val="10"/>
        </w:numPr>
        <w:spacing w:line="360" w:lineRule="auto"/>
        <w:ind w:firstLineChars="0"/>
        <w:rPr>
          <w:rFonts w:ascii="宋体" w:hAnsi="宋体" w:eastAsia="宋体"/>
          <w:sz w:val="24"/>
          <w:szCs w:val="24"/>
        </w:rPr>
      </w:pPr>
      <w:r>
        <w:rPr>
          <w:rFonts w:hint="eastAsia" w:ascii="宋体" w:hAnsi="宋体" w:eastAsia="宋体"/>
          <w:sz w:val="24"/>
          <w:szCs w:val="24"/>
        </w:rPr>
        <w:t>帮助教研室建设个性化门户网站，展示教研室精品课程，发布新闻公告，教研室团队风采展示等，个性化导航栏可以自定义配置，包含但不限于教研室信息、教研室活动、教研成果等内容。</w:t>
      </w:r>
    </w:p>
    <w:p>
      <w:pPr>
        <w:pStyle w:val="60"/>
        <w:numPr>
          <w:ilvl w:val="0"/>
          <w:numId w:val="10"/>
        </w:numPr>
        <w:spacing w:line="360" w:lineRule="auto"/>
        <w:ind w:firstLineChars="0"/>
        <w:rPr>
          <w:rFonts w:ascii="宋体" w:hAnsi="宋体" w:eastAsia="宋体"/>
          <w:sz w:val="24"/>
          <w:szCs w:val="24"/>
        </w:rPr>
      </w:pPr>
      <w:r>
        <w:rPr>
          <w:rFonts w:hint="eastAsia" w:ascii="宋体" w:hAnsi="宋体" w:eastAsia="宋体"/>
          <w:sz w:val="24"/>
          <w:szCs w:val="24"/>
        </w:rPr>
        <w:t>▲管理人员可以自定义门户，系统提供相应的模块配置和背景设置，自定义布局，通过拖拽的方式，即可将需要展示的内容拖拽到展示的布局内，并可随时调整。门户支持添加和设置应用基础模块，包含图标列表、图文列表、轮播图、多图列表、搜索、文本列表、图表、表格、搜索列表、文本、图片、按钮、视频、搜索条、天气、日期、插件、</w:t>
      </w:r>
      <w:r>
        <w:rPr>
          <w:rFonts w:ascii="宋体" w:hAnsi="宋体" w:eastAsia="宋体"/>
          <w:sz w:val="24"/>
          <w:szCs w:val="24"/>
        </w:rPr>
        <w:t>IP、地图等多种基础模块用以生成网站应用模块和页面，满足绝大部分网站内容的展现形式。</w:t>
      </w:r>
    </w:p>
    <w:p>
      <w:pPr>
        <w:pStyle w:val="5"/>
        <w:numPr>
          <w:ilvl w:val="0"/>
          <w:numId w:val="1"/>
        </w:numPr>
        <w:rPr>
          <w:rFonts w:hint="eastAsia"/>
          <w:sz w:val="28"/>
          <w:szCs w:val="28"/>
        </w:rPr>
      </w:pPr>
      <w:r>
        <w:rPr>
          <w:rFonts w:hint="eastAsia"/>
          <w:sz w:val="28"/>
          <w:szCs w:val="28"/>
        </w:rPr>
        <w:t>教研成果管理</w:t>
      </w:r>
    </w:p>
    <w:p>
      <w:pPr>
        <w:pStyle w:val="60"/>
        <w:numPr>
          <w:ilvl w:val="0"/>
          <w:numId w:val="11"/>
        </w:numPr>
        <w:spacing w:line="360" w:lineRule="auto"/>
        <w:ind w:firstLineChars="0"/>
        <w:rPr>
          <w:rFonts w:ascii="宋体" w:hAnsi="宋体" w:eastAsia="宋体"/>
          <w:sz w:val="24"/>
          <w:szCs w:val="24"/>
        </w:rPr>
      </w:pPr>
      <w:r>
        <w:rPr>
          <w:rFonts w:hint="eastAsia" w:ascii="宋体" w:hAnsi="宋体" w:eastAsia="宋体"/>
          <w:sz w:val="24"/>
          <w:szCs w:val="24"/>
        </w:rPr>
        <w:t>支持上传教研室团队优秀教学案例，如教学设计样例、优秀教案、优秀课件、示范课程、示范课堂等，供教研室观摩学习。</w:t>
      </w:r>
    </w:p>
    <w:p>
      <w:pPr>
        <w:pStyle w:val="2"/>
        <w:bidi w:val="0"/>
      </w:pPr>
    </w:p>
    <w:p>
      <w:pPr>
        <w:widowControl/>
        <w:shd w:val="clear" w:color="auto" w:fill="FFFFFF"/>
        <w:spacing w:line="480" w:lineRule="auto"/>
        <w:ind w:firstLine="360" w:firstLineChars="150"/>
        <w:rPr>
          <w:rFonts w:ascii="宋体" w:hAnsi="宋体" w:eastAsia="宋体" w:cs="宋体"/>
          <w:color w:val="FF0000"/>
          <w:kern w:val="0"/>
          <w:sz w:val="24"/>
          <w:szCs w:val="24"/>
        </w:rPr>
      </w:pPr>
      <w:r>
        <w:rPr>
          <w:rFonts w:hint="eastAsia" w:ascii="宋体" w:hAnsi="宋体" w:eastAsia="宋体" w:cs="宋体"/>
          <w:color w:val="FF0000"/>
          <w:kern w:val="0"/>
          <w:sz w:val="24"/>
          <w:szCs w:val="24"/>
        </w:rPr>
        <w:t>评审</w:t>
      </w:r>
      <w:r>
        <w:rPr>
          <w:rFonts w:ascii="宋体" w:hAnsi="宋体" w:eastAsia="宋体" w:cs="宋体"/>
          <w:color w:val="FF0000"/>
          <w:kern w:val="0"/>
          <w:sz w:val="24"/>
          <w:szCs w:val="24"/>
        </w:rPr>
        <w:t>条款</w:t>
      </w:r>
      <w:r>
        <w:rPr>
          <w:rFonts w:hint="eastAsia" w:ascii="宋体" w:hAnsi="宋体" w:eastAsia="宋体" w:cs="宋体"/>
          <w:color w:val="FF0000"/>
          <w:kern w:val="0"/>
          <w:sz w:val="24"/>
          <w:szCs w:val="24"/>
        </w:rPr>
        <w:t>：</w:t>
      </w:r>
    </w:p>
    <w:p>
      <w:pPr>
        <w:widowControl/>
        <w:shd w:val="clear" w:color="auto" w:fill="FFFFFF"/>
        <w:spacing w:line="480" w:lineRule="auto"/>
        <w:ind w:firstLine="360" w:firstLineChars="150"/>
        <w:rPr>
          <w:rFonts w:ascii="宋体" w:hAnsi="宋体" w:eastAsia="宋体" w:cs="宋体"/>
          <w:color w:val="333333"/>
          <w:kern w:val="0"/>
          <w:sz w:val="24"/>
          <w:szCs w:val="24"/>
        </w:rPr>
      </w:pPr>
      <w:commentRangeStart w:id="0"/>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 xml:space="preserve">综合评分法    </w:t>
      </w:r>
      <w:commentRangeEnd w:id="0"/>
      <w:r>
        <w:rPr>
          <w:rStyle w:val="19"/>
        </w:rPr>
        <w:commentReference w:id="0"/>
      </w:r>
      <w:r>
        <w:rPr>
          <w:rFonts w:hint="eastAsia" w:ascii="宋体" w:hAnsi="宋体" w:eastAsia="宋体" w:cs="宋体"/>
          <w:color w:val="333333"/>
          <w:kern w:val="0"/>
          <w:sz w:val="24"/>
          <w:szCs w:val="24"/>
        </w:rPr>
        <w:t xml:space="preserve">  </w:t>
      </w:r>
    </w:p>
    <w:p>
      <w:pPr>
        <w:adjustRightInd w:val="0"/>
        <w:spacing w:line="360" w:lineRule="auto"/>
        <w:jc w:val="center"/>
        <w:textAlignment w:val="baseline"/>
        <w:rPr>
          <w:rFonts w:ascii="宋体" w:hAnsi="宋体"/>
          <w:color w:val="000000" w:themeColor="text1"/>
          <w:sz w:val="2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评分标准和评分细则</w:t>
      </w:r>
    </w:p>
    <w:tbl>
      <w:tblPr>
        <w:tblStyle w:val="16"/>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376"/>
        <w:gridCol w:w="1000"/>
        <w:gridCol w:w="5670"/>
      </w:tblGrid>
      <w:tr>
        <w:trPr>
          <w:trHeight w:val="321" w:hRule="atLeast"/>
          <w:jc w:val="center"/>
        </w:trPr>
        <w:tc>
          <w:tcPr>
            <w:tcW w:w="3282" w:type="dxa"/>
            <w:gridSpan w:val="2"/>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评价因素</w:t>
            </w:r>
          </w:p>
        </w:tc>
        <w:tc>
          <w:tcPr>
            <w:tcW w:w="1000" w:type="dxa"/>
            <w:vAlign w:val="center"/>
          </w:tcPr>
          <w:p>
            <w:pPr>
              <w:adjustRightInd w:val="0"/>
              <w:spacing w:line="360" w:lineRule="auto"/>
              <w:jc w:val="right"/>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分值</w:t>
            </w:r>
          </w:p>
        </w:tc>
        <w:tc>
          <w:tcPr>
            <w:tcW w:w="5670" w:type="dxa"/>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906" w:type="dxa"/>
            <w:vAlign w:val="center"/>
          </w:tcPr>
          <w:p>
            <w:pPr>
              <w:adjustRightInd w:val="0"/>
              <w:spacing w:line="360" w:lineRule="auto"/>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价格</w:t>
            </w:r>
          </w:p>
          <w:p>
            <w:pPr>
              <w:adjustRightInd w:val="0"/>
              <w:spacing w:line="360" w:lineRule="auto"/>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部分</w:t>
            </w:r>
          </w:p>
          <w:p>
            <w:pPr>
              <w:adjustRightInd w:val="0"/>
              <w:spacing w:line="360" w:lineRule="auto"/>
              <w:textAlignment w:val="baseline"/>
              <w:rPr>
                <w:rFonts w:cs="宋体" w:asciiTheme="minorEastAsia" w:hAnsiTheme="minorEastAsia"/>
                <w:color w:val="000000" w:themeColor="text1"/>
                <w:szCs w:val="21"/>
                <w14:textFill>
                  <w14:solidFill>
                    <w14:schemeClr w14:val="tx1"/>
                  </w14:solidFill>
                </w14:textFill>
              </w:rPr>
            </w:pPr>
            <w:r>
              <w:rPr>
                <w:rFonts w:hint="default" w:cs="宋体" w:asciiTheme="minorEastAsia" w:hAnsiTheme="minorEastAsia"/>
                <w:color w:val="000000" w:themeColor="text1"/>
                <w:szCs w:val="21"/>
                <w14:textFill>
                  <w14:solidFill>
                    <w14:schemeClr w14:val="tx1"/>
                  </w14:solidFill>
                </w14:textFill>
              </w:rPr>
              <w:t>20</w:t>
            </w:r>
            <w:r>
              <w:rPr>
                <w:rFonts w:hint="eastAsia" w:cs="宋体" w:asciiTheme="minorEastAsia" w:hAnsiTheme="minorEastAsia"/>
                <w:color w:val="000000" w:themeColor="text1"/>
                <w:szCs w:val="21"/>
                <w14:textFill>
                  <w14:solidFill>
                    <w14:schemeClr w14:val="tx1"/>
                  </w14:solidFill>
                </w14:textFill>
              </w:rPr>
              <w:t>分</w:t>
            </w:r>
          </w:p>
        </w:tc>
        <w:tc>
          <w:tcPr>
            <w:tcW w:w="2376" w:type="dxa"/>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商务报价</w:t>
            </w:r>
          </w:p>
        </w:tc>
        <w:tc>
          <w:tcPr>
            <w:tcW w:w="1000" w:type="dxa"/>
            <w:vAlign w:val="center"/>
          </w:tcPr>
          <w:p>
            <w:pPr>
              <w:adjustRightInd w:val="0"/>
              <w:spacing w:line="360" w:lineRule="auto"/>
              <w:ind w:firstLine="420" w:firstLineChars="200"/>
              <w:textAlignment w:val="baseline"/>
              <w:rPr>
                <w:rFonts w:hint="default" w:cs="宋体" w:asciiTheme="minorEastAsia" w:hAnsiTheme="minorEastAsia"/>
                <w:color w:val="000000" w:themeColor="text1"/>
                <w:szCs w:val="21"/>
                <w14:textFill>
                  <w14:solidFill>
                    <w14:schemeClr w14:val="tx1"/>
                  </w14:solidFill>
                </w14:textFill>
              </w:rPr>
            </w:pPr>
            <w:r>
              <w:rPr>
                <w:rFonts w:hint="default" w:cs="宋体" w:asciiTheme="minorEastAsia" w:hAnsiTheme="minorEastAsia"/>
                <w:color w:val="000000" w:themeColor="text1"/>
                <w:szCs w:val="21"/>
                <w14:textFill>
                  <w14:solidFill>
                    <w14:schemeClr w14:val="tx1"/>
                  </w14:solidFill>
                </w14:textFill>
              </w:rPr>
              <w:t>20</w:t>
            </w:r>
          </w:p>
        </w:tc>
        <w:tc>
          <w:tcPr>
            <w:tcW w:w="5670" w:type="dxa"/>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以本次投标报价平均价为基准价，各投标人报价以评标基准价为最优得分，每高于基准价2％扣1分，每低于基准价2％扣0.5分; 不足2％部分按内插法计算，小数点后保留两位小数。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906" w:type="dxa"/>
            <w:vMerge w:val="restart"/>
            <w:vAlign w:val="center"/>
          </w:tcPr>
          <w:p>
            <w:pPr>
              <w:adjustRightInd w:val="0"/>
              <w:spacing w:line="360" w:lineRule="auto"/>
              <w:jc w:val="left"/>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 部分</w:t>
            </w:r>
          </w:p>
          <w:p>
            <w:pPr>
              <w:adjustRightInd w:val="0"/>
              <w:spacing w:line="360" w:lineRule="auto"/>
              <w:textAlignment w:val="baseline"/>
              <w:rPr>
                <w:rFonts w:cs="宋体" w:asciiTheme="minorEastAsia" w:hAnsiTheme="minorEastAsia"/>
                <w:color w:val="000000" w:themeColor="text1"/>
                <w:szCs w:val="21"/>
                <w14:textFill>
                  <w14:solidFill>
                    <w14:schemeClr w14:val="tx1"/>
                  </w14:solidFill>
                </w14:textFill>
              </w:rPr>
            </w:pPr>
            <w:r>
              <w:rPr>
                <w:rFonts w:hint="default" w:cs="宋体" w:asciiTheme="minorEastAsia" w:hAnsiTheme="minorEastAsia"/>
                <w:color w:val="000000" w:themeColor="text1"/>
                <w:szCs w:val="21"/>
                <w14:textFill>
                  <w14:solidFill>
                    <w14:schemeClr w14:val="tx1"/>
                  </w14:solidFill>
                </w14:textFill>
              </w:rPr>
              <w:t>50</w:t>
            </w:r>
            <w:r>
              <w:rPr>
                <w:rFonts w:hint="eastAsia" w:cs="宋体" w:asciiTheme="minorEastAsia" w:hAnsiTheme="minorEastAsia"/>
                <w:color w:val="000000" w:themeColor="text1"/>
                <w:szCs w:val="21"/>
                <w14:textFill>
                  <w14:solidFill>
                    <w14:schemeClr w14:val="tx1"/>
                  </w14:solidFill>
                </w14:textFill>
              </w:rPr>
              <w:t>分</w:t>
            </w:r>
          </w:p>
        </w:tc>
        <w:tc>
          <w:tcPr>
            <w:tcW w:w="2376" w:type="dxa"/>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整体方案设计</w:t>
            </w:r>
          </w:p>
        </w:tc>
        <w:tc>
          <w:tcPr>
            <w:tcW w:w="1000" w:type="dxa"/>
            <w:vAlign w:val="center"/>
          </w:tcPr>
          <w:p>
            <w:pPr>
              <w:adjustRightInd w:val="0"/>
              <w:spacing w:line="360" w:lineRule="auto"/>
              <w:ind w:firstLine="420" w:firstLineChars="200"/>
              <w:textAlignment w:val="baseline"/>
              <w:rPr>
                <w:rFonts w:hint="default" w:cs="宋体" w:asciiTheme="minorEastAsia" w:hAnsiTheme="minorEastAsia"/>
                <w:color w:val="000000" w:themeColor="text1"/>
                <w:szCs w:val="21"/>
                <w14:textFill>
                  <w14:solidFill>
                    <w14:schemeClr w14:val="tx1"/>
                  </w14:solidFill>
                </w14:textFill>
              </w:rPr>
            </w:pPr>
            <w:r>
              <w:rPr>
                <w:rFonts w:hint="default" w:cs="宋体" w:asciiTheme="minorEastAsia" w:hAnsiTheme="minorEastAsia"/>
                <w:color w:val="000000" w:themeColor="text1"/>
                <w:szCs w:val="21"/>
                <w14:textFill>
                  <w14:solidFill>
                    <w14:schemeClr w14:val="tx1"/>
                  </w14:solidFill>
                </w14:textFill>
              </w:rPr>
              <w:t>10</w:t>
            </w:r>
          </w:p>
        </w:tc>
        <w:tc>
          <w:tcPr>
            <w:tcW w:w="5670" w:type="dxa"/>
            <w:tcBorders>
              <w:bottom w:val="single" w:color="auto" w:sz="4" w:space="0"/>
            </w:tcBorders>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考查投标方提供的技术方案总体框架先进性、合理性、完整性、可行性</w:t>
            </w:r>
            <w:r>
              <w:rPr>
                <w:rFonts w:hint="default" w:cs="宋体"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szCs w:val="21"/>
                <w:lang w:val="en-US" w:eastAsia="zh-Hans"/>
                <w14:textFill>
                  <w14:solidFill>
                    <w14:schemeClr w14:val="tx1"/>
                  </w14:solidFill>
                </w14:textFill>
              </w:rPr>
              <w:t>方案中需包含基础信息管理</w:t>
            </w:r>
            <w:r>
              <w:rPr>
                <w:rFonts w:hint="default" w:cs="宋体" w:asciiTheme="minorEastAsia" w:hAnsiTheme="minorEastAsia"/>
                <w:color w:val="000000" w:themeColor="text1"/>
                <w:szCs w:val="21"/>
                <w:lang w:eastAsia="zh-Hans"/>
                <w14:textFill>
                  <w14:solidFill>
                    <w14:schemeClr w14:val="tx1"/>
                  </w14:solidFill>
                </w14:textFill>
              </w:rPr>
              <w:t>、</w:t>
            </w:r>
            <w:r>
              <w:rPr>
                <w:rFonts w:hint="eastAsia" w:cs="宋体" w:asciiTheme="minorEastAsia" w:hAnsiTheme="minorEastAsia"/>
                <w:color w:val="000000" w:themeColor="text1"/>
                <w:szCs w:val="21"/>
                <w:lang w:val="en-US" w:eastAsia="zh-Hans"/>
                <w14:textFill>
                  <w14:solidFill>
                    <w14:schemeClr w14:val="tx1"/>
                  </w14:solidFill>
                </w14:textFill>
              </w:rPr>
              <w:t>教研方式管理</w:t>
            </w:r>
            <w:r>
              <w:rPr>
                <w:rFonts w:hint="default" w:cs="宋体" w:asciiTheme="minorEastAsia" w:hAnsiTheme="minorEastAsia"/>
                <w:color w:val="000000" w:themeColor="text1"/>
                <w:szCs w:val="21"/>
                <w:lang w:eastAsia="zh-Hans"/>
                <w14:textFill>
                  <w14:solidFill>
                    <w14:schemeClr w14:val="tx1"/>
                  </w14:solidFill>
                </w14:textFill>
              </w:rPr>
              <w:t>、</w:t>
            </w:r>
            <w:r>
              <w:rPr>
                <w:rFonts w:hint="eastAsia" w:cs="宋体" w:asciiTheme="minorEastAsia" w:hAnsiTheme="minorEastAsia"/>
                <w:color w:val="000000" w:themeColor="text1"/>
                <w:szCs w:val="21"/>
                <w:lang w:val="en-US" w:eastAsia="zh-Hans"/>
                <w14:textFill>
                  <w14:solidFill>
                    <w14:schemeClr w14:val="tx1"/>
                  </w14:solidFill>
                </w14:textFill>
              </w:rPr>
              <w:t>教研活动管理</w:t>
            </w:r>
            <w:r>
              <w:rPr>
                <w:rFonts w:hint="default" w:cs="宋体" w:asciiTheme="minorEastAsia" w:hAnsiTheme="minorEastAsia"/>
                <w:color w:val="000000" w:themeColor="text1"/>
                <w:szCs w:val="21"/>
                <w:lang w:eastAsia="zh-Hans"/>
                <w14:textFill>
                  <w14:solidFill>
                    <w14:schemeClr w14:val="tx1"/>
                  </w14:solidFill>
                </w14:textFill>
              </w:rPr>
              <w:t>、</w:t>
            </w:r>
            <w:r>
              <w:rPr>
                <w:rFonts w:hint="eastAsia" w:cs="宋体" w:asciiTheme="minorEastAsia" w:hAnsiTheme="minorEastAsia"/>
                <w:color w:val="000000" w:themeColor="text1"/>
                <w:szCs w:val="21"/>
                <w:lang w:val="en-US" w:eastAsia="zh-Hans"/>
                <w14:textFill>
                  <w14:solidFill>
                    <w14:schemeClr w14:val="tx1"/>
                  </w14:solidFill>
                </w14:textFill>
              </w:rPr>
              <w:t>教研资源共建</w:t>
            </w:r>
            <w:r>
              <w:rPr>
                <w:rFonts w:hint="default" w:cs="宋体" w:asciiTheme="minorEastAsia" w:hAnsiTheme="minorEastAsia"/>
                <w:color w:val="000000" w:themeColor="text1"/>
                <w:szCs w:val="21"/>
                <w:lang w:eastAsia="zh-Hans"/>
                <w14:textFill>
                  <w14:solidFill>
                    <w14:schemeClr w14:val="tx1"/>
                  </w14:solidFill>
                </w14:textFill>
              </w:rPr>
              <w:t>、</w:t>
            </w:r>
            <w:r>
              <w:rPr>
                <w:rFonts w:hint="eastAsia" w:cs="宋体" w:asciiTheme="minorEastAsia" w:hAnsiTheme="minorEastAsia"/>
                <w:color w:val="000000" w:themeColor="text1"/>
                <w:szCs w:val="21"/>
                <w:lang w:val="en-US" w:eastAsia="zh-Hans"/>
                <w14:textFill>
                  <w14:solidFill>
                    <w14:schemeClr w14:val="tx1"/>
                  </w14:solidFill>
                </w14:textFill>
              </w:rPr>
              <w:t>学习资料管理</w:t>
            </w:r>
            <w:r>
              <w:rPr>
                <w:rFonts w:hint="default" w:cs="宋体" w:asciiTheme="minorEastAsia" w:hAnsiTheme="minorEastAsia"/>
                <w:color w:val="000000" w:themeColor="text1"/>
                <w:szCs w:val="21"/>
                <w:lang w:eastAsia="zh-Hans"/>
                <w14:textFill>
                  <w14:solidFill>
                    <w14:schemeClr w14:val="tx1"/>
                  </w14:solidFill>
                </w14:textFill>
              </w:rPr>
              <w:t>、</w:t>
            </w:r>
            <w:r>
              <w:rPr>
                <w:rFonts w:hint="eastAsia" w:cs="宋体" w:asciiTheme="minorEastAsia" w:hAnsiTheme="minorEastAsia"/>
                <w:color w:val="000000" w:themeColor="text1"/>
                <w:szCs w:val="21"/>
                <w:lang w:val="en-US" w:eastAsia="zh-Hans"/>
                <w14:textFill>
                  <w14:solidFill>
                    <w14:schemeClr w14:val="tx1"/>
                  </w14:solidFill>
                </w14:textFill>
              </w:rPr>
              <w:t>数据统计模块</w:t>
            </w:r>
            <w:r>
              <w:rPr>
                <w:rFonts w:hint="eastAsia" w:cs="宋体" w:asciiTheme="minorEastAsia" w:hAnsiTheme="minorEastAsia"/>
                <w:color w:val="000000" w:themeColor="text1"/>
                <w:szCs w:val="21"/>
                <w14:textFill>
                  <w14:solidFill>
                    <w14:schemeClr w14:val="tx1"/>
                  </w14:solidFill>
                </w14:textFill>
              </w:rPr>
              <w:t>。优秀得</w:t>
            </w:r>
            <w:r>
              <w:rPr>
                <w:rFonts w:hint="default" w:cs="宋体" w:asciiTheme="minorEastAsia" w:hAnsiTheme="minorEastAsia"/>
                <w:color w:val="000000" w:themeColor="text1"/>
                <w:szCs w:val="21"/>
                <w14:textFill>
                  <w14:solidFill>
                    <w14:schemeClr w14:val="tx1"/>
                  </w14:solidFill>
                </w14:textFill>
              </w:rPr>
              <w:t>10</w:t>
            </w:r>
            <w:r>
              <w:rPr>
                <w:rFonts w:hint="eastAsia" w:cs="宋体" w:asciiTheme="minorEastAsia" w:hAnsiTheme="minorEastAsia"/>
                <w:color w:val="000000" w:themeColor="text1"/>
                <w:szCs w:val="21"/>
                <w14:textFill>
                  <w14:solidFill>
                    <w14:schemeClr w14:val="tx1"/>
                  </w14:solidFill>
                </w14:textFill>
              </w:rPr>
              <w:t>分，良好得</w:t>
            </w:r>
            <w:r>
              <w:rPr>
                <w:rFonts w:hint="default" w:cs="宋体" w:asciiTheme="minorEastAsia" w:hAnsiTheme="minorEastAsia"/>
                <w:color w:val="000000" w:themeColor="text1"/>
                <w:szCs w:val="21"/>
                <w14:textFill>
                  <w14:solidFill>
                    <w14:schemeClr w14:val="tx1"/>
                  </w14:solidFill>
                </w14:textFill>
              </w:rPr>
              <w:t>5</w:t>
            </w:r>
            <w:r>
              <w:rPr>
                <w:rFonts w:hint="eastAsia" w:cs="宋体" w:asciiTheme="minorEastAsia" w:hAnsiTheme="minorEastAsia"/>
                <w:color w:val="000000" w:themeColor="text1"/>
                <w:szCs w:val="21"/>
                <w14:textFill>
                  <w14:solidFill>
                    <w14:schemeClr w14:val="tx1"/>
                  </w14:solidFill>
                </w14:textFill>
              </w:rPr>
              <w:t>分，一般得</w:t>
            </w:r>
            <w:r>
              <w:rPr>
                <w:rFonts w:hint="default" w:cs="宋体" w:asciiTheme="minorEastAsia" w:hAnsiTheme="minorEastAsia"/>
                <w:color w:val="000000" w:themeColor="text1"/>
                <w:szCs w:val="21"/>
                <w14:textFill>
                  <w14:solidFill>
                    <w14:schemeClr w14:val="tx1"/>
                  </w14:solidFill>
                </w14:textFill>
              </w:rPr>
              <w:t>2</w:t>
            </w:r>
            <w:r>
              <w:rPr>
                <w:rFonts w:hint="eastAsia" w:cs="宋体" w:asciiTheme="minorEastAsia" w:hAnsiTheme="minorEastAsia"/>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906" w:type="dxa"/>
            <w:vMerge w:val="continue"/>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p>
        </w:tc>
        <w:tc>
          <w:tcPr>
            <w:tcW w:w="2376" w:type="dxa"/>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在产品的技术参数中，对标 (</w:t>
            </w:r>
            <w:r>
              <w:rPr>
                <w:rFonts w:hint="eastAsia" w:ascii="微软雅黑" w:hAnsi="微软雅黑" w:eastAsia="微软雅黑" w:cs="宋体"/>
                <w:kern w:val="0"/>
                <w:szCs w:val="21"/>
              </w:rPr>
              <w:t>★</w:t>
            </w:r>
            <w:r>
              <w:rPr>
                <w:rFonts w:hint="eastAsia" w:cs="宋体" w:asciiTheme="minorEastAsia" w:hAnsiTheme="minorEastAsia"/>
                <w:color w:val="000000" w:themeColor="text1"/>
                <w:szCs w:val="21"/>
                <w14:textFill>
                  <w14:solidFill>
                    <w14:schemeClr w14:val="tx1"/>
                  </w14:solidFill>
                </w14:textFill>
              </w:rPr>
              <w:t>号)条款的响应程度进行评审</w:t>
            </w:r>
          </w:p>
        </w:tc>
        <w:tc>
          <w:tcPr>
            <w:tcW w:w="1000" w:type="dxa"/>
            <w:vAlign w:val="center"/>
          </w:tcPr>
          <w:p>
            <w:pPr>
              <w:adjustRightInd w:val="0"/>
              <w:spacing w:line="360" w:lineRule="auto"/>
              <w:ind w:firstLine="315" w:firstLineChars="150"/>
              <w:textAlignment w:val="baseline"/>
              <w:rPr>
                <w:rFonts w:hint="default" w:cs="宋体" w:asciiTheme="minorEastAsia" w:hAnsiTheme="minorEastAsia"/>
                <w:color w:val="000000" w:themeColor="text1"/>
                <w:szCs w:val="21"/>
                <w14:textFill>
                  <w14:solidFill>
                    <w14:schemeClr w14:val="tx1"/>
                  </w14:solidFill>
                </w14:textFill>
              </w:rPr>
            </w:pPr>
            <w:r>
              <w:rPr>
                <w:rFonts w:hint="default" w:cs="宋体" w:asciiTheme="minorEastAsia" w:hAnsiTheme="minorEastAsia"/>
                <w:color w:val="000000" w:themeColor="text1"/>
                <w:szCs w:val="21"/>
                <w14:textFill>
                  <w14:solidFill>
                    <w14:schemeClr w14:val="tx1"/>
                  </w14:solidFill>
                </w14:textFill>
              </w:rPr>
              <w:t>20</w:t>
            </w:r>
          </w:p>
        </w:tc>
        <w:tc>
          <w:tcPr>
            <w:tcW w:w="5670" w:type="dxa"/>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横向对比有效投标人所投产品技术规格、参数指标，结合投标人产品材料的提供情况进行评比。</w:t>
            </w:r>
          </w:p>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每负偏离“</w:t>
            </w:r>
            <w:r>
              <w:rPr>
                <w:rFonts w:hint="eastAsia" w:ascii="微软雅黑" w:hAnsi="微软雅黑" w:eastAsia="微软雅黑" w:cs="宋体"/>
                <w:kern w:val="0"/>
                <w:szCs w:val="21"/>
              </w:rPr>
              <w:t>★</w:t>
            </w:r>
            <w:r>
              <w:rPr>
                <w:rFonts w:hint="eastAsia" w:cs="宋体" w:asciiTheme="minorEastAsia" w:hAnsiTheme="minorEastAsia"/>
                <w:color w:val="000000" w:themeColor="text1"/>
                <w:szCs w:val="21"/>
                <w14:textFill>
                  <w14:solidFill>
                    <w14:schemeClr w14:val="tx1"/>
                  </w14:solidFill>
                </w14:textFill>
              </w:rPr>
              <w:t>”条款的，每个扣2分，扣完为止。</w:t>
            </w:r>
          </w:p>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非“</w:t>
            </w:r>
            <w:r>
              <w:rPr>
                <w:rFonts w:hint="eastAsia" w:ascii="微软雅黑" w:hAnsi="微软雅黑" w:eastAsia="微软雅黑" w:cs="宋体"/>
                <w:kern w:val="0"/>
                <w:szCs w:val="21"/>
              </w:rPr>
              <w:t>★</w:t>
            </w:r>
            <w:r>
              <w:rPr>
                <w:rFonts w:hint="eastAsia" w:cs="宋体" w:asciiTheme="minorEastAsia" w:hAnsiTheme="minorEastAsia"/>
                <w:color w:val="000000" w:themeColor="text1"/>
                <w:szCs w:val="21"/>
                <w14:textFill>
                  <w14:solidFill>
                    <w14:schemeClr w14:val="tx1"/>
                  </w14:solidFill>
                </w14:textFill>
              </w:rPr>
              <w:t>”条款每个不满足者扣1分，扣完为止。</w:t>
            </w:r>
          </w:p>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提供虚假参数及证明文件者，取消投标资格，中标后取消中标资格。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906" w:type="dxa"/>
            <w:vMerge w:val="continue"/>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p>
        </w:tc>
        <w:tc>
          <w:tcPr>
            <w:tcW w:w="2376" w:type="dxa"/>
            <w:vAlign w:val="center"/>
          </w:tcPr>
          <w:p>
            <w:pPr>
              <w:adjustRightInd w:val="0"/>
              <w:spacing w:line="360" w:lineRule="auto"/>
              <w:ind w:firstLine="420" w:firstLineChars="200"/>
              <w:jc w:val="left"/>
              <w:textAlignment w:val="baseline"/>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平台功能演示视频</w:t>
            </w:r>
          </w:p>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（投标人须在现场提供所投型号真实产品演示视频，具体演示内容见各项评审因素要求；演示时间：不得超过20分钟；演示设备：电脑等设备投标人自带（投影仪投标现场已具备，投标人不需另行准备）；</w:t>
            </w:r>
          </w:p>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演示顺序：按投标人递交投标文件的签到顺序。）</w:t>
            </w:r>
          </w:p>
        </w:tc>
        <w:tc>
          <w:tcPr>
            <w:tcW w:w="1000" w:type="dxa"/>
            <w:vAlign w:val="center"/>
          </w:tcPr>
          <w:p>
            <w:pPr>
              <w:adjustRightInd w:val="0"/>
              <w:spacing w:line="360" w:lineRule="auto"/>
              <w:ind w:right="105" w:firstLine="420" w:firstLineChars="200"/>
              <w:jc w:val="right"/>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20</w:t>
            </w:r>
          </w:p>
        </w:tc>
        <w:tc>
          <w:tcPr>
            <w:tcW w:w="5670" w:type="dxa"/>
            <w:vAlign w:val="center"/>
          </w:tcPr>
          <w:p>
            <w:pPr>
              <w:numPr>
                <w:ilvl w:val="0"/>
                <w:numId w:val="12"/>
              </w:numPr>
              <w:spacing w:line="360" w:lineRule="auto"/>
              <w:ind w:firstLine="420" w:firstLineChars="200"/>
            </w:pPr>
            <w:r>
              <w:rPr>
                <w:rFonts w:hint="eastAsia"/>
              </w:rPr>
              <w:t>支持管理教研组成员，显示成员全部信息，能够查看教研日历，全部日期下的日历样式展示，可按照年、月筛选当日是否存在教研活动。（满足此项得2分）</w:t>
            </w:r>
          </w:p>
          <w:p>
            <w:pPr>
              <w:numPr>
                <w:ilvl w:val="0"/>
                <w:numId w:val="12"/>
              </w:numPr>
              <w:spacing w:line="360" w:lineRule="auto"/>
              <w:ind w:firstLine="420" w:firstLineChars="200"/>
            </w:pPr>
            <w:r>
              <w:rPr>
                <w:rFonts w:hint="eastAsia"/>
              </w:rPr>
              <w:t>教研圈子：提供教研圈子功能，可以设定圈子名称以及加入的权限，权限包括公开加入、邀请加入、审批加入等方式。并且支持共建圈子云盘，上传分享相关资源。支持新建讨论话题，回复支持上传文字、附件等内容，并支持点赞转发；（满足此项得2分）</w:t>
            </w:r>
          </w:p>
          <w:p>
            <w:pPr>
              <w:pStyle w:val="8"/>
              <w:numPr>
                <w:ilvl w:val="0"/>
                <w:numId w:val="12"/>
              </w:numPr>
              <w:spacing w:line="360" w:lineRule="auto"/>
              <w:ind w:firstLineChars="0"/>
              <w:rPr>
                <w:rFonts w:asciiTheme="minorHAnsi" w:eastAsiaTheme="minorEastAsia"/>
                <w:sz w:val="21"/>
                <w:szCs w:val="22"/>
              </w:rPr>
            </w:pPr>
            <w:r>
              <w:rPr>
                <w:rFonts w:hint="eastAsia" w:asciiTheme="minorHAnsi" w:eastAsiaTheme="minorEastAsia"/>
                <w:sz w:val="21"/>
                <w:szCs w:val="22"/>
              </w:rPr>
              <w:t>活动报名采集信息：可以自定义添加报名表字段，用于采集信息，支持必要字段：单行输入、数字输入、时间日期输入、联系人输入、下拉选择输入、矩阵表格等，支持设置手机号或邮箱格式限制，可以设置字段的默认值，并且部分默认值可以根据报名用户自动填充，减少用户填写时间。（满足此项得2分）</w:t>
            </w:r>
          </w:p>
          <w:p>
            <w:pPr>
              <w:adjustRightInd w:val="0"/>
              <w:spacing w:line="360" w:lineRule="auto"/>
              <w:ind w:firstLine="420" w:firstLineChars="200"/>
              <w:textAlignment w:val="baseline"/>
            </w:pPr>
            <w:r>
              <w:rPr>
                <w:rFonts w:hint="eastAsia"/>
              </w:rPr>
              <w:t>4、提供电脑直播客户端，支持线上教研会议远程直播、录制回放、共享屏幕等远程交流方式，支持对接课程与云盘，直播时选择课程与云盘中的资源进行在线分享，并且支持同声翻译。（满足此项得2分）</w:t>
            </w:r>
          </w:p>
          <w:p>
            <w:pPr>
              <w:pStyle w:val="8"/>
              <w:spacing w:line="360" w:lineRule="auto"/>
              <w:rPr>
                <w:rFonts w:asciiTheme="minorHAnsi" w:eastAsiaTheme="minorEastAsia"/>
                <w:sz w:val="21"/>
                <w:szCs w:val="22"/>
              </w:rPr>
            </w:pPr>
            <w:r>
              <w:rPr>
                <w:rFonts w:hint="eastAsia" w:asciiTheme="minorHAnsi" w:eastAsiaTheme="minorEastAsia"/>
                <w:sz w:val="21"/>
                <w:szCs w:val="22"/>
              </w:rPr>
              <w:t>5、群聊：支持群聊功能（也可设置屏蔽提醒），教研组的老师可在群里内进行文字及语音沟通，并且支持在线拍摄、在线打卡、在线直播，并且支持一键分享云盘资料。（满足此项得2分）</w:t>
            </w:r>
          </w:p>
          <w:p>
            <w:pPr>
              <w:spacing w:line="360" w:lineRule="auto"/>
              <w:ind w:firstLine="420" w:firstLineChars="200"/>
              <w:jc w:val="left"/>
            </w:pPr>
            <w:r>
              <w:rPr>
                <w:rFonts w:hint="eastAsia"/>
              </w:rPr>
              <w:t>6、支持进行文档共建，进行文字、图片、表格、水印等内容的添加，字体等版式调整。修改后支持查看协作记录和历史版本，并且支持预览历史版本后进行恢复至该版本。（满足此项得2分）</w:t>
            </w:r>
          </w:p>
          <w:p>
            <w:pPr>
              <w:adjustRightInd w:val="0"/>
              <w:spacing w:line="360" w:lineRule="auto"/>
              <w:ind w:firstLine="420" w:firstLineChars="200"/>
              <w:textAlignment w:val="baseline"/>
            </w:pPr>
            <w:r>
              <w:rPr>
                <w:rFonts w:hint="eastAsia"/>
              </w:rPr>
              <w:t>7、</w:t>
            </w:r>
            <w:r>
              <w:t>基于平台共同开发课程，支持多人协同异地同步编辑课程，上传资料，提供便捷易用的课程编辑器，支持添加图片、文档、音视频、动画、网页链接、问卷、测验等，同时也需调用资源库中的图书、报纸、知识点、学术视频、期刊论文等海量资源</w:t>
            </w:r>
            <w:r>
              <w:rPr>
                <w:rFonts w:hint="eastAsia"/>
              </w:rPr>
              <w:t>。（满足此项得2分）</w:t>
            </w:r>
          </w:p>
          <w:p>
            <w:pPr>
              <w:adjustRightInd w:val="0"/>
              <w:spacing w:line="360" w:lineRule="auto"/>
              <w:ind w:firstLine="420" w:firstLineChars="200"/>
              <w:textAlignment w:val="baseline"/>
            </w:pPr>
            <w:r>
              <w:rPr>
                <w:rFonts w:hint="eastAsia"/>
              </w:rPr>
              <w:t>8、管理人员可以自定义门户，系统提供相应的模块配置和背景设置，自定义布局，通过拖拽的方式，即可将需要展示的内容拖拽到展示的布局内，并可随时调整。门户支持添加和设置应用基础模块，包含图标列表、图文列表、轮播图、多图列表、搜索、文本列表、图表、表格、搜索列表、文本、图片、按钮、视频、搜索条、天气、日期、插件、</w:t>
            </w:r>
            <w:r>
              <w:t>IP、地图等多种基础模块用以生成网站应用模块和页面，满足绝大部分网站内容的展现形式。</w:t>
            </w:r>
            <w:r>
              <w:rPr>
                <w:rFonts w:hint="eastAsia"/>
              </w:rPr>
              <w:t>（满足此项得2分）</w:t>
            </w:r>
          </w:p>
          <w:p>
            <w:pPr>
              <w:adjustRightInd w:val="0"/>
              <w:spacing w:line="360" w:lineRule="auto"/>
              <w:ind w:firstLine="420" w:firstLineChars="200"/>
              <w:textAlignment w:val="baseline"/>
            </w:pPr>
            <w:r>
              <w:rPr>
                <w:rFonts w:hint="eastAsia"/>
              </w:rPr>
              <w:t>9、知识图谱：知识图谱可创建多级知识点，知识点支持与课程内题库关联，支持查看某个知识点相关的资源以及与该资源相关的拓展资源。（满足此项得2分）</w:t>
            </w:r>
          </w:p>
          <w:p>
            <w:pPr>
              <w:adjustRightInd w:val="0"/>
              <w:spacing w:line="360" w:lineRule="auto"/>
              <w:ind w:firstLine="420" w:firstLineChars="200"/>
              <w:textAlignment w:val="baseline"/>
            </w:pPr>
            <w:r>
              <w:rPr>
                <w:rFonts w:hint="eastAsia"/>
              </w:rPr>
              <w:t>10、每位教师具有专属的学习空间，具备个人信息的留存、管理、维护，筛选时间段内的学时掌握教研数据，并支持导出功能；以时间轴的方式展示成长轨迹，可自定义成长标题、时间、备注。（满足此项得2分）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9" w:hRule="atLeast"/>
          <w:jc w:val="center"/>
        </w:trPr>
        <w:tc>
          <w:tcPr>
            <w:tcW w:w="906" w:type="dxa"/>
            <w:vMerge w:val="restart"/>
            <w:vAlign w:val="center"/>
          </w:tcPr>
          <w:p>
            <w:pPr>
              <w:adjustRightInd w:val="0"/>
              <w:spacing w:line="360" w:lineRule="auto"/>
              <w:jc w:val="left"/>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商务部分</w:t>
            </w:r>
          </w:p>
          <w:p>
            <w:pPr>
              <w:adjustRightInd w:val="0"/>
              <w:spacing w:line="360" w:lineRule="auto"/>
              <w:textAlignment w:val="baseline"/>
              <w:rPr>
                <w:rFonts w:cs="宋体" w:asciiTheme="minorEastAsia" w:hAnsiTheme="minorEastAsia"/>
                <w:color w:val="000000" w:themeColor="text1"/>
                <w:szCs w:val="21"/>
                <w14:textFill>
                  <w14:solidFill>
                    <w14:schemeClr w14:val="tx1"/>
                  </w14:solidFill>
                </w14:textFill>
              </w:rPr>
            </w:pPr>
            <w:r>
              <w:rPr>
                <w:rFonts w:hint="default" w:cs="宋体" w:asciiTheme="minorEastAsia" w:hAnsiTheme="minorEastAsia"/>
                <w:color w:val="000000" w:themeColor="text1"/>
                <w:szCs w:val="21"/>
                <w14:textFill>
                  <w14:solidFill>
                    <w14:schemeClr w14:val="tx1"/>
                  </w14:solidFill>
                </w14:textFill>
              </w:rPr>
              <w:t>30</w:t>
            </w:r>
            <w:r>
              <w:rPr>
                <w:rFonts w:hint="eastAsia" w:cs="宋体" w:asciiTheme="minorEastAsia" w:hAnsiTheme="minorEastAsia"/>
                <w:color w:val="000000" w:themeColor="text1"/>
                <w:szCs w:val="21"/>
                <w14:textFill>
                  <w14:solidFill>
                    <w14:schemeClr w14:val="tx1"/>
                  </w14:solidFill>
                </w14:textFill>
              </w:rPr>
              <w:t>分</w:t>
            </w:r>
          </w:p>
        </w:tc>
        <w:tc>
          <w:tcPr>
            <w:tcW w:w="2376" w:type="dxa"/>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售后服务</w:t>
            </w:r>
          </w:p>
        </w:tc>
        <w:tc>
          <w:tcPr>
            <w:tcW w:w="1000" w:type="dxa"/>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w:t>
            </w:r>
          </w:p>
        </w:tc>
        <w:tc>
          <w:tcPr>
            <w:tcW w:w="5670" w:type="dxa"/>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考查投标方提供的售后服务方案。详细具体，具有针对性</w:t>
            </w:r>
            <w:r>
              <w:rPr>
                <w:rFonts w:hint="default" w:cs="宋体" w:asciiTheme="minorAscii" w:hAnsiTheme="minorAscii"/>
                <w:color w:val="000000" w:themeColor="text1"/>
                <w:sz w:val="21"/>
                <w:szCs w:val="21"/>
                <w14:textFill>
                  <w14:solidFill>
                    <w14:schemeClr w14:val="tx1"/>
                  </w14:solidFill>
                </w14:textFill>
              </w:rPr>
              <w:t>、完整、保证度高、响应及时。</w:t>
            </w:r>
            <w:r>
              <w:rPr>
                <w:rFonts w:hint="default" w:cs="宋体" w:asciiTheme="minorAscii" w:hAnsiTheme="minorAscii"/>
                <w:color w:val="000000" w:themeColor="text1"/>
                <w:sz w:val="21"/>
                <w:szCs w:val="21"/>
                <w:lang w:val="en-US" w:eastAsia="zh-Hans"/>
                <w14:textFill>
                  <w14:solidFill>
                    <w14:schemeClr w14:val="tx1"/>
                  </w14:solidFill>
                </w14:textFill>
              </w:rPr>
              <w:t>方案需包含</w:t>
            </w:r>
            <w:r>
              <w:rPr>
                <w:rFonts w:hint="eastAsia" w:ascii="黑体" w:hAnsi="黑体" w:eastAsia="黑体" w:cs="黑体"/>
                <w:spacing w:val="11"/>
                <w:sz w:val="21"/>
                <w:szCs w:val="21"/>
              </w:rPr>
              <w:t>售后服务流程控制；后期服务</w:t>
            </w:r>
            <w:r>
              <w:rPr>
                <w:rFonts w:hint="eastAsia" w:ascii="黑体" w:hAnsi="黑体" w:eastAsia="黑体" w:cs="黑体"/>
                <w:sz w:val="21"/>
                <w:szCs w:val="21"/>
              </w:rPr>
              <w:t xml:space="preserve"> </w:t>
            </w:r>
            <w:r>
              <w:rPr>
                <w:rFonts w:hint="eastAsia" w:ascii="黑体" w:hAnsi="黑体" w:eastAsia="黑体" w:cs="黑体"/>
                <w:spacing w:val="9"/>
                <w:sz w:val="21"/>
                <w:szCs w:val="21"/>
              </w:rPr>
              <w:t>质</w:t>
            </w:r>
            <w:r>
              <w:rPr>
                <w:rFonts w:hint="eastAsia" w:ascii="黑体" w:hAnsi="黑体" w:eastAsia="黑体" w:cs="黑体"/>
                <w:spacing w:val="7"/>
                <w:sz w:val="21"/>
                <w:szCs w:val="21"/>
              </w:rPr>
              <w:t>量保证；应急措施方案</w:t>
            </w:r>
            <w:r>
              <w:rPr>
                <w:rFonts w:hint="default" w:ascii="黑体" w:hAnsi="黑体" w:eastAsia="黑体" w:cs="黑体"/>
                <w:spacing w:val="7"/>
                <w:sz w:val="21"/>
                <w:szCs w:val="21"/>
              </w:rPr>
              <w:t>。</w:t>
            </w:r>
            <w:r>
              <w:rPr>
                <w:rFonts w:hint="default" w:cs="宋体" w:asciiTheme="minorAscii" w:hAnsiTheme="minorAscii"/>
                <w:color w:val="000000" w:themeColor="text1"/>
                <w:sz w:val="21"/>
                <w:szCs w:val="21"/>
                <w14:textFill>
                  <w14:solidFill>
                    <w14:schemeClr w14:val="tx1"/>
                  </w14:solidFill>
                </w14:textFill>
              </w:rPr>
              <w:t>优秀得3分，良好得2分，一般得1分。</w:t>
            </w:r>
          </w:p>
          <w:p>
            <w:pPr>
              <w:adjustRightInd w:val="0"/>
              <w:spacing w:line="360" w:lineRule="auto"/>
              <w:ind w:firstLine="315" w:firstLineChars="15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提供2名技术服务人员劳动合同且在连缴纳社保证明原件，得基础分1分；每多提供一名，加0.5分，最高加1分；不提供不得分，满分2分。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9" w:hRule="atLeast"/>
          <w:jc w:val="center"/>
        </w:trPr>
        <w:tc>
          <w:tcPr>
            <w:tcW w:w="906" w:type="dxa"/>
            <w:vMerge w:val="continue"/>
            <w:vAlign w:val="center"/>
          </w:tcPr>
          <w:p>
            <w:pPr>
              <w:adjustRightInd w:val="0"/>
              <w:spacing w:line="360" w:lineRule="auto"/>
              <w:textAlignment w:val="baseline"/>
              <w:rPr>
                <w:rFonts w:cs="宋体" w:asciiTheme="minorEastAsia" w:hAnsiTheme="minorEastAsia"/>
                <w:color w:val="000000" w:themeColor="text1"/>
                <w:szCs w:val="21"/>
                <w14:textFill>
                  <w14:solidFill>
                    <w14:schemeClr w14:val="tx1"/>
                  </w14:solidFill>
                </w14:textFill>
              </w:rPr>
            </w:pPr>
          </w:p>
        </w:tc>
        <w:tc>
          <w:tcPr>
            <w:tcW w:w="2376" w:type="dxa"/>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服务保障力</w:t>
            </w:r>
          </w:p>
        </w:tc>
        <w:tc>
          <w:tcPr>
            <w:tcW w:w="1000" w:type="dxa"/>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w:t>
            </w:r>
          </w:p>
        </w:tc>
        <w:tc>
          <w:tcPr>
            <w:tcW w:w="5670" w:type="dxa"/>
            <w:vAlign w:val="center"/>
          </w:tcPr>
          <w:p>
            <w:pPr>
              <w:adjustRightInd w:val="0"/>
              <w:spacing w:line="360" w:lineRule="auto"/>
              <w:ind w:firstLine="420" w:firstLineChars="200"/>
              <w:textAlignment w:val="baseline"/>
              <w:rPr>
                <w:rFonts w:ascii="宋体" w:hAnsi="宋体"/>
                <w:szCs w:val="21"/>
              </w:rPr>
            </w:pPr>
            <w:r>
              <w:rPr>
                <w:rFonts w:hint="eastAsia" w:cs="宋体" w:asciiTheme="minorEastAsia" w:hAnsiTheme="minorEastAsia"/>
                <w:szCs w:val="21"/>
              </w:rPr>
              <w:t>具有软件企业认证证书、企业信用具有AAA等级证书、具有ISO9001质量管理体系认证证书、高新技术企业证书</w:t>
            </w:r>
            <w:r>
              <w:rPr>
                <w:rFonts w:hint="eastAsia" w:ascii="宋体" w:hAnsi="宋体" w:cs="宋体"/>
                <w:szCs w:val="21"/>
              </w:rPr>
              <w:t>，</w:t>
            </w:r>
            <w:r>
              <w:rPr>
                <w:rFonts w:hint="eastAsia" w:ascii="宋体" w:hAnsi="宋体"/>
                <w:szCs w:val="21"/>
              </w:rPr>
              <w:t>提供全部得4分，缺少一项扣1分，扣完为止。</w:t>
            </w:r>
          </w:p>
          <w:p>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提供三级等级保护证书，得2分；提供</w:t>
            </w:r>
            <w:r>
              <w:rPr>
                <w:rFonts w:hint="eastAsia" w:cs="宋体" w:asciiTheme="minorEastAsia" w:hAnsiTheme="minorEastAsia"/>
                <w:szCs w:val="21"/>
              </w:rPr>
              <w:t>网络出版服务许可证，得2分；提供互联网试听许可证得2分，最高得6分。</w:t>
            </w:r>
          </w:p>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（提供有效证明原件扫描件，原件备查。）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906" w:type="dxa"/>
            <w:vMerge w:val="continue"/>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p>
        </w:tc>
        <w:tc>
          <w:tcPr>
            <w:tcW w:w="2376" w:type="dxa"/>
            <w:vMerge w:val="restart"/>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p>
        </w:tc>
        <w:tc>
          <w:tcPr>
            <w:tcW w:w="1000" w:type="dxa"/>
            <w:vAlign w:val="center"/>
          </w:tcPr>
          <w:p>
            <w:pPr>
              <w:adjustRightInd w:val="0"/>
              <w:spacing w:line="360" w:lineRule="auto"/>
              <w:ind w:firstLine="420" w:firstLineChars="200"/>
              <w:textAlignment w:val="baseline"/>
              <w:rPr>
                <w:rFonts w:hint="default" w:cs="宋体" w:asciiTheme="minorEastAsia" w:hAnsiTheme="minorEastAsia"/>
                <w:color w:val="000000" w:themeColor="text1"/>
                <w:szCs w:val="21"/>
                <w14:textFill>
                  <w14:solidFill>
                    <w14:schemeClr w14:val="tx1"/>
                  </w14:solidFill>
                </w14:textFill>
              </w:rPr>
            </w:pPr>
            <w:r>
              <w:rPr>
                <w:rFonts w:hint="default" w:cs="宋体" w:asciiTheme="minorEastAsia" w:hAnsiTheme="minorEastAsia"/>
                <w:color w:val="000000" w:themeColor="text1"/>
                <w:szCs w:val="21"/>
                <w14:textFill>
                  <w14:solidFill>
                    <w14:schemeClr w14:val="tx1"/>
                  </w14:solidFill>
                </w14:textFill>
              </w:rPr>
              <w:t>10</w:t>
            </w:r>
          </w:p>
        </w:tc>
        <w:tc>
          <w:tcPr>
            <w:tcW w:w="5670" w:type="dxa"/>
            <w:vAlign w:val="center"/>
          </w:tcPr>
          <w:p>
            <w:pPr>
              <w:adjustRightInd w:val="0"/>
              <w:spacing w:line="360" w:lineRule="auto"/>
              <w:textAlignment w:val="baseline"/>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知识产权：</w:t>
            </w:r>
          </w:p>
          <w:p>
            <w:pPr>
              <w:pStyle w:val="60"/>
              <w:numPr>
                <w:ilvl w:val="0"/>
                <w:numId w:val="13"/>
              </w:numPr>
              <w:adjustRightInd w:val="0"/>
              <w:spacing w:line="360" w:lineRule="auto"/>
              <w:ind w:firstLineChars="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所投产品厂商应具有自有知识产权。</w:t>
            </w:r>
          </w:p>
          <w:p>
            <w:pPr>
              <w:pStyle w:val="60"/>
              <w:adjustRightInd w:val="0"/>
              <w:spacing w:line="360" w:lineRule="auto"/>
              <w:ind w:left="360" w:firstLine="0" w:firstLineChars="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需提供云盘软件、智慧课堂平台、网络教学综合服务平</w:t>
            </w:r>
          </w:p>
          <w:p>
            <w:pPr>
              <w:adjustRightInd w:val="0"/>
              <w:spacing w:line="360" w:lineRule="auto"/>
              <w:textAlignment w:val="baseline"/>
              <w:rPr>
                <w:rFonts w:ascii="宋体" w:hAnsi="宋体"/>
                <w:szCs w:val="21"/>
              </w:rPr>
            </w:pPr>
            <w:r>
              <w:rPr>
                <w:rFonts w:hint="eastAsia" w:ascii="宋体" w:hAnsi="宋体"/>
                <w:color w:val="000000" w:themeColor="text1"/>
                <w:szCs w:val="21"/>
                <w14:textFill>
                  <w14:solidFill>
                    <w14:schemeClr w14:val="tx1"/>
                  </w14:solidFill>
                </w14:textFill>
              </w:rPr>
              <w:t>台、移动app、直播平台的计算机软件著作权登记证书。</w:t>
            </w:r>
            <w:r>
              <w:rPr>
                <w:rFonts w:hint="eastAsia" w:ascii="宋体" w:hAnsi="宋体"/>
                <w:szCs w:val="21"/>
              </w:rPr>
              <w:t>满足全部条件得5分，缺少一项扣1分，扣完为止。</w:t>
            </w:r>
          </w:p>
          <w:p>
            <w:pPr>
              <w:adjustRightInd w:val="0"/>
              <w:spacing w:line="360" w:lineRule="auto"/>
              <w:ind w:left="315" w:hanging="315" w:hangingChars="15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2、所投产品厂商提供的电子图书备课资源必须取得著作权</w:t>
            </w:r>
          </w:p>
          <w:p>
            <w:pPr>
              <w:adjustRightInd w:val="0"/>
              <w:spacing w:line="360" w:lineRule="auto"/>
              <w:ind w:left="315" w:hanging="315" w:hangingChars="15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人的授权（提供有效证明原件扫描件，不少于10份，原件</w:t>
            </w:r>
          </w:p>
          <w:p>
            <w:pPr>
              <w:adjustRightInd w:val="0"/>
              <w:spacing w:line="360" w:lineRule="auto"/>
              <w:ind w:left="315" w:hanging="315" w:hangingChars="15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备查），所有知识产权、信息网络传播权纠纷由供货方承担</w:t>
            </w:r>
          </w:p>
          <w:p>
            <w:pPr>
              <w:adjustRightInd w:val="0"/>
              <w:spacing w:line="360" w:lineRule="auto"/>
              <w:ind w:left="315" w:hanging="315" w:hangingChars="150"/>
              <w:textAlignment w:val="baseline"/>
              <w:rPr>
                <w:rFonts w:cs="宋体" w:asciiTheme="minorEastAsia" w:hAnsi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责任。每提供一份得0.5分，最高得5分。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906" w:type="dxa"/>
            <w:vMerge w:val="continue"/>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p>
        </w:tc>
        <w:tc>
          <w:tcPr>
            <w:tcW w:w="2376" w:type="dxa"/>
            <w:vMerge w:val="continue"/>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p>
        </w:tc>
        <w:tc>
          <w:tcPr>
            <w:tcW w:w="1000" w:type="dxa"/>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w:t>
            </w:r>
          </w:p>
        </w:tc>
        <w:tc>
          <w:tcPr>
            <w:tcW w:w="5670" w:type="dxa"/>
            <w:vAlign w:val="center"/>
          </w:tcPr>
          <w:p>
            <w:pPr>
              <w:adjustRightInd w:val="0"/>
              <w:spacing w:line="360" w:lineRule="auto"/>
              <w:jc w:val="left"/>
              <w:textAlignment w:val="baseline"/>
              <w:rPr>
                <w:rFonts w:ascii="宋体" w:hAnsi="宋体" w:cs="宋体"/>
                <w:szCs w:val="21"/>
              </w:rPr>
            </w:pPr>
            <w:r>
              <w:rPr>
                <w:rFonts w:ascii="宋体" w:hAnsi="宋体" w:cs="宋体"/>
                <w:szCs w:val="21"/>
              </w:rPr>
              <w:t>本地化服务能力</w:t>
            </w:r>
            <w:r>
              <w:rPr>
                <w:rFonts w:hint="eastAsia" w:ascii="宋体" w:hAnsi="宋体" w:cs="宋体"/>
                <w:szCs w:val="21"/>
              </w:rPr>
              <w:t>：</w:t>
            </w:r>
          </w:p>
          <w:p>
            <w:pPr>
              <w:adjustRightInd w:val="0"/>
              <w:spacing w:line="360" w:lineRule="auto"/>
              <w:jc w:val="left"/>
              <w:textAlignment w:val="baseline"/>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为保证此项目的顺利进行，对比中标公司的本地化服务能力，以满足学校对本地化服务的需求，提供的证明材料均不得遮挡涂黑，否则不予认定加分。</w:t>
            </w:r>
          </w:p>
          <w:p>
            <w:pPr>
              <w:adjustRightInd w:val="0"/>
              <w:spacing w:line="360" w:lineRule="auto"/>
              <w:jc w:val="left"/>
              <w:textAlignment w:val="baseline"/>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1、投标人具有本省的服务团队，能提供本地化公司营业执照证明文件及近一年的纳税申报表复印件并加盖投标人公章的得2分，未提供证明文件或证书无效均不得分。</w:t>
            </w:r>
          </w:p>
          <w:p>
            <w:pPr>
              <w:adjustRightInd w:val="0"/>
              <w:spacing w:line="360" w:lineRule="auto"/>
              <w:jc w:val="left"/>
              <w:textAlignment w:val="baseline"/>
              <w:rPr>
                <w:rFonts w:ascii="宋体" w:hAnsi="宋体" w:cs="宋体"/>
                <w:szCs w:val="21"/>
              </w:rPr>
            </w:pPr>
            <w:r>
              <w:rPr>
                <w:rFonts w:cs="宋体" w:asciiTheme="minorEastAsia" w:hAnsiTheme="minorEastAsia"/>
                <w:color w:val="000000" w:themeColor="text1"/>
                <w:szCs w:val="21"/>
                <w14:textFill>
                  <w14:solidFill>
                    <w14:schemeClr w14:val="tx1"/>
                  </w14:solidFill>
                </w14:textFill>
              </w:rPr>
              <w:t>2、投标人可提供本省服务团队人员社会保险证明文件（提供复印件并加盖公章），提供资料有效得3分，未提供证明文件或证书无效均不得分。</w:t>
            </w:r>
          </w:p>
        </w:tc>
      </w:tr>
      <w:tr>
        <w:trPr>
          <w:cantSplit/>
          <w:trHeight w:val="606" w:hRule="atLeast"/>
          <w:jc w:val="center"/>
        </w:trPr>
        <w:tc>
          <w:tcPr>
            <w:tcW w:w="906" w:type="dxa"/>
            <w:vMerge w:val="continue"/>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p>
        </w:tc>
        <w:tc>
          <w:tcPr>
            <w:tcW w:w="2376" w:type="dxa"/>
            <w:vAlign w:val="center"/>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总分</w:t>
            </w:r>
          </w:p>
        </w:tc>
        <w:tc>
          <w:tcPr>
            <w:tcW w:w="1000" w:type="dxa"/>
            <w:vAlign w:val="center"/>
          </w:tcPr>
          <w:p>
            <w:pPr>
              <w:adjustRightInd w:val="0"/>
              <w:spacing w:line="360" w:lineRule="auto"/>
              <w:jc w:val="right"/>
              <w:textAlignment w:val="baseline"/>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100</w:t>
            </w:r>
          </w:p>
        </w:tc>
        <w:tc>
          <w:tcPr>
            <w:tcW w:w="5670" w:type="dxa"/>
          </w:tcPr>
          <w:p>
            <w:pPr>
              <w:adjustRightInd w:val="0"/>
              <w:spacing w:line="360" w:lineRule="auto"/>
              <w:ind w:firstLine="420" w:firstLineChars="200"/>
              <w:textAlignment w:val="baseline"/>
              <w:rPr>
                <w:rFonts w:cs="宋体" w:asciiTheme="minorEastAsia" w:hAnsiTheme="minorEastAsia"/>
                <w:color w:val="000000" w:themeColor="text1"/>
                <w:szCs w:val="21"/>
                <w14:textFill>
                  <w14:solidFill>
                    <w14:schemeClr w14:val="tx1"/>
                  </w14:solidFill>
                </w14:textFill>
              </w:rPr>
            </w:pPr>
          </w:p>
        </w:tc>
      </w:tr>
    </w:tbl>
    <w:p>
      <w:pPr>
        <w:widowControl/>
        <w:shd w:val="clear" w:color="auto" w:fill="FFFFFF"/>
        <w:spacing w:line="480" w:lineRule="auto"/>
        <w:rPr>
          <w:rFonts w:hint="eastAsia" w:ascii="宋体" w:hAnsi="宋体" w:eastAsia="宋体" w:cs="宋体"/>
          <w:color w:val="333333"/>
          <w:kern w:val="0"/>
          <w:sz w:val="24"/>
          <w:szCs w:val="24"/>
          <w:lang w:eastAsia="zh-CN"/>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lang w:eastAsia="zh-CN"/>
        </w:rPr>
        <w:t xml:space="preserve">   </w:t>
      </w:r>
      <w:r>
        <w:rPr>
          <w:rFonts w:hint="eastAsia" w:ascii="宋体" w:hAnsi="宋体" w:eastAsia="宋体" w:cs="宋体"/>
          <w:color w:val="333333"/>
          <w:kern w:val="0"/>
          <w:sz w:val="24"/>
          <w:szCs w:val="24"/>
        </w:rPr>
        <w:t>□最低</w:t>
      </w:r>
      <w:r>
        <w:rPr>
          <w:rFonts w:ascii="宋体" w:hAnsi="宋体" w:eastAsia="宋体" w:cs="宋体"/>
          <w:color w:val="333333"/>
          <w:kern w:val="0"/>
          <w:sz w:val="24"/>
          <w:szCs w:val="24"/>
        </w:rPr>
        <w:t>评标价法</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评审因素： </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扣除比例</w:t>
      </w:r>
      <w:r>
        <w:rPr>
          <w:rFonts w:ascii="宋体" w:hAnsi="宋体" w:eastAsia="宋体" w:cs="宋体"/>
          <w:color w:val="333333"/>
          <w:kern w:val="0"/>
          <w:sz w:val="24"/>
          <w:szCs w:val="24"/>
        </w:rPr>
        <w:t>%：</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评审标准：</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8、合同管理安排</w:t>
      </w:r>
    </w:p>
    <w:p>
      <w:pPr>
        <w:widowControl/>
        <w:shd w:val="clear" w:color="auto" w:fill="FFFFFF"/>
        <w:spacing w:line="480" w:lineRule="auto"/>
        <w:ind w:firstLine="840"/>
        <w:rPr>
          <w:rFonts w:ascii="宋体" w:hAnsi="宋体" w:eastAsia="宋体" w:cs="宋体"/>
          <w:color w:val="0A82E5"/>
          <w:kern w:val="0"/>
          <w:sz w:val="24"/>
          <w:szCs w:val="24"/>
          <w:shd w:val="clear" w:color="auto" w:fill="FFFF00"/>
        </w:rPr>
      </w:pPr>
      <w:r>
        <w:rPr>
          <w:rFonts w:hint="eastAsia" w:ascii="宋体" w:hAnsi="宋体" w:eastAsia="宋体" w:cs="宋体"/>
          <w:color w:val="FF0000"/>
          <w:kern w:val="0"/>
          <w:sz w:val="24"/>
          <w:szCs w:val="24"/>
        </w:rPr>
        <w:t>1）合同类型：</w:t>
      </w:r>
      <w:r>
        <w:rPr>
          <w:rFonts w:hint="eastAsia" w:ascii="宋体" w:hAnsi="宋体" w:eastAsia="宋体" w:cs="宋体"/>
          <w:color w:val="333333"/>
          <w:kern w:val="0"/>
          <w:sz w:val="24"/>
          <w:szCs w:val="24"/>
        </w:rPr>
        <w:t>买卖合同□  租赁合同□  建设工程合同□  技术合同</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 xml:space="preserve">  委托合同□  物业管理合同□  其他合同□</w:t>
      </w:r>
    </w:p>
    <w:p>
      <w:pPr>
        <w:widowControl/>
        <w:shd w:val="clear" w:color="auto" w:fill="FFFFFF"/>
        <w:spacing w:line="480" w:lineRule="auto"/>
        <w:ind w:firstLine="840"/>
        <w:rPr>
          <w:rFonts w:ascii="宋体" w:hAnsi="宋体" w:eastAsia="宋体" w:cs="宋体"/>
          <w:color w:val="333333"/>
          <w:kern w:val="0"/>
          <w:sz w:val="24"/>
          <w:szCs w:val="24"/>
        </w:rPr>
      </w:pPr>
      <w:r>
        <w:rPr>
          <w:rFonts w:ascii="宋体" w:hAnsi="宋体" w:eastAsia="宋体" w:cs="宋体"/>
          <w:color w:val="FF0000"/>
          <w:kern w:val="0"/>
          <w:sz w:val="24"/>
          <w:szCs w:val="24"/>
        </w:rPr>
        <w:t>2</w:t>
      </w:r>
      <w:r>
        <w:rPr>
          <w:rFonts w:hint="eastAsia" w:ascii="宋体" w:hAnsi="宋体" w:eastAsia="宋体" w:cs="宋体"/>
          <w:color w:val="FF0000"/>
          <w:kern w:val="0"/>
          <w:sz w:val="24"/>
          <w:szCs w:val="24"/>
        </w:rPr>
        <w:t>）合同履行期限：</w:t>
      </w:r>
      <w:r>
        <w:rPr>
          <w:rFonts w:hint="eastAsia" w:ascii="宋体" w:hAnsi="宋体" w:eastAsia="宋体" w:cs="宋体"/>
          <w:color w:val="333333"/>
          <w:kern w:val="0"/>
          <w:sz w:val="24"/>
          <w:szCs w:val="24"/>
        </w:rPr>
        <w:t>自合同签订之日起</w:t>
      </w:r>
      <w:r>
        <w:rPr>
          <w:rFonts w:hint="eastAsia"/>
        </w:rPr>
        <w:t>730</w:t>
      </w:r>
      <w:r>
        <w:rPr>
          <w:rFonts w:hint="eastAsia" w:ascii="宋体" w:hAnsi="宋体" w:eastAsia="宋体" w:cs="宋体"/>
          <w:color w:val="333333"/>
          <w:kern w:val="0"/>
          <w:sz w:val="24"/>
          <w:szCs w:val="24"/>
        </w:rPr>
        <w:t>日</w:t>
      </w:r>
    </w:p>
    <w:p>
      <w:pPr>
        <w:widowControl/>
        <w:shd w:val="clear" w:color="auto" w:fill="FFFFFF"/>
        <w:spacing w:line="480" w:lineRule="auto"/>
        <w:ind w:firstLine="840"/>
        <w:rPr>
          <w:rFonts w:ascii="宋体" w:hAnsi="宋体" w:eastAsia="宋体" w:cs="宋体"/>
          <w:color w:val="FF0000"/>
          <w:kern w:val="0"/>
          <w:sz w:val="24"/>
          <w:szCs w:val="24"/>
        </w:rPr>
      </w:pPr>
      <w:r>
        <w:rPr>
          <w:rFonts w:ascii="宋体" w:hAnsi="宋体" w:eastAsia="宋体" w:cs="宋体"/>
          <w:color w:val="FF0000"/>
          <w:kern w:val="0"/>
          <w:sz w:val="24"/>
          <w:szCs w:val="24"/>
        </w:rPr>
        <w:t>3</w:t>
      </w:r>
      <w:r>
        <w:rPr>
          <w:rFonts w:hint="eastAsia" w:ascii="宋体" w:hAnsi="宋体" w:eastAsia="宋体" w:cs="宋体"/>
          <w:color w:val="FF0000"/>
          <w:kern w:val="0"/>
          <w:sz w:val="24"/>
          <w:szCs w:val="24"/>
        </w:rPr>
        <w:t>）合同履约地点：</w:t>
      </w:r>
    </w:p>
    <w:p>
      <w:pPr>
        <w:widowControl/>
        <w:shd w:val="clear" w:color="auto" w:fill="FFFFFF"/>
        <w:spacing w:line="480" w:lineRule="auto"/>
        <w:ind w:firstLine="840"/>
        <w:rPr>
          <w:rFonts w:ascii="宋体" w:hAnsi="宋体" w:eastAsia="宋体" w:cs="宋体"/>
          <w:color w:val="0A82E5"/>
          <w:kern w:val="0"/>
          <w:sz w:val="24"/>
          <w:szCs w:val="24"/>
          <w:shd w:val="clear" w:color="auto" w:fill="FFFF00"/>
        </w:rPr>
      </w:pP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）支付方式：</w:t>
      </w:r>
      <w:r>
        <w:rPr>
          <w:rFonts w:hint="eastAsia"/>
          <w:color w:val="FF0000"/>
          <w:sz w:val="24"/>
        </w:rPr>
        <w:t>一次付清</w:t>
      </w:r>
      <w:r>
        <w:rPr>
          <w:rFonts w:hint="eastAsia" w:ascii="宋体" w:hAnsi="宋体" w:eastAsia="宋体" w:cs="宋体"/>
          <w:color w:val="FF0000"/>
          <w:kern w:val="0"/>
          <w:sz w:val="24"/>
          <w:szCs w:val="24"/>
        </w:rPr>
        <w:t>□</w:t>
      </w:r>
      <w:r>
        <w:rPr>
          <w:rFonts w:hint="eastAsia"/>
          <w:sz w:val="24"/>
        </w:rPr>
        <w:t xml:space="preserve">   </w:t>
      </w:r>
      <w:r>
        <w:rPr>
          <w:rFonts w:hint="eastAsia"/>
          <w:color w:val="FF0000"/>
          <w:sz w:val="24"/>
        </w:rPr>
        <w:t>分期付款</w:t>
      </w:r>
      <w:r>
        <w:rPr>
          <w:rFonts w:hint="eastAsia" w:ascii="宋体" w:hAnsi="宋体" w:eastAsia="宋体" w:cs="宋体"/>
          <w:color w:val="FF0000"/>
          <w:kern w:val="0"/>
          <w:sz w:val="24"/>
          <w:szCs w:val="24"/>
        </w:rPr>
        <w:sym w:font="Wingdings 2" w:char="0052"/>
      </w:r>
      <w:r>
        <w:rPr>
          <w:rFonts w:ascii="宋体" w:hAnsi="宋体" w:eastAsia="宋体" w:cs="宋体"/>
          <w:color w:val="FF0000"/>
          <w:kern w:val="0"/>
          <w:sz w:val="24"/>
          <w:szCs w:val="24"/>
        </w:rPr>
        <w:t xml:space="preserve"> </w:t>
      </w:r>
      <w:r>
        <w:rPr>
          <w:rFonts w:hint="eastAsia" w:ascii="宋体" w:hAnsi="宋体" w:eastAsia="宋体" w:cs="宋体"/>
          <w:color w:val="FF0000"/>
          <w:kern w:val="0"/>
          <w:sz w:val="24"/>
          <w:szCs w:val="24"/>
        </w:rPr>
        <w:t>比例</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首期60%尾款40%  （0</w:t>
      </w:r>
      <w:r>
        <w:rPr>
          <w:rFonts w:ascii="宋体" w:hAnsi="宋体" w:eastAsia="宋体" w:cs="宋体"/>
          <w:color w:val="FF0000"/>
          <w:kern w:val="0"/>
          <w:sz w:val="24"/>
          <w:szCs w:val="24"/>
        </w:rPr>
        <w:t>-100%可选</w:t>
      </w:r>
      <w:r>
        <w:rPr>
          <w:rFonts w:hint="eastAsia" w:ascii="宋体" w:hAnsi="宋体" w:eastAsia="宋体" w:cs="宋体"/>
          <w:color w:val="FF0000"/>
          <w:kern w:val="0"/>
          <w:sz w:val="24"/>
          <w:szCs w:val="24"/>
        </w:rPr>
        <w:t>）</w:t>
      </w:r>
    </w:p>
    <w:p>
      <w:pPr>
        <w:ind w:firstLine="840" w:firstLineChars="300"/>
        <w:rPr>
          <w:sz w:val="28"/>
        </w:rPr>
      </w:pPr>
      <w:r>
        <w:rPr>
          <w:sz w:val="28"/>
        </w:rPr>
        <w:t>5</w:t>
      </w:r>
      <w:r>
        <w:rPr>
          <w:rFonts w:hint="eastAsia"/>
          <w:sz w:val="28"/>
        </w:rPr>
        <w:t>）履约保证金及缴纳形式：</w:t>
      </w:r>
    </w:p>
    <w:p>
      <w:pPr>
        <w:ind w:firstLine="840" w:firstLineChars="300"/>
        <w:rPr>
          <w:sz w:val="28"/>
        </w:rPr>
      </w:pPr>
      <w:r>
        <w:rPr>
          <w:rFonts w:hint="eastAsia"/>
          <w:sz w:val="28"/>
        </w:rPr>
        <w:t>中标/成交供应商是否需要缴纳履约保证金：是</w:t>
      </w:r>
    </w:p>
    <w:p>
      <w:pPr>
        <w:ind w:firstLine="840" w:firstLineChars="300"/>
        <w:rPr>
          <w:sz w:val="28"/>
        </w:rPr>
      </w:pPr>
      <w:r>
        <w:rPr>
          <w:rFonts w:hint="eastAsia"/>
          <w:sz w:val="28"/>
        </w:rPr>
        <w:t>履约保证金缴纳比例：5%</w:t>
      </w:r>
    </w:p>
    <w:p>
      <w:pPr>
        <w:ind w:firstLine="840" w:firstLineChars="300"/>
        <w:rPr>
          <w:sz w:val="28"/>
        </w:rPr>
      </w:pPr>
      <w:r>
        <w:rPr>
          <w:rFonts w:hint="eastAsia"/>
          <w:sz w:val="28"/>
        </w:rPr>
        <w:t>缴纳方式：银行转账</w:t>
      </w:r>
    </w:p>
    <w:p>
      <w:pPr>
        <w:ind w:firstLine="840" w:firstLineChars="300"/>
        <w:rPr>
          <w:sz w:val="28"/>
        </w:rPr>
      </w:pPr>
      <w:r>
        <w:rPr>
          <w:rFonts w:hint="eastAsia"/>
          <w:sz w:val="28"/>
        </w:rPr>
        <w:t>缴纳说明：缴纳履约保证金后签订合同</w:t>
      </w:r>
    </w:p>
    <w:p>
      <w:pPr>
        <w:ind w:firstLine="840" w:firstLineChars="300"/>
        <w:rPr>
          <w:sz w:val="28"/>
        </w:rPr>
      </w:pPr>
      <w:r>
        <w:rPr>
          <w:sz w:val="28"/>
        </w:rPr>
        <w:t>6</w:t>
      </w:r>
      <w:r>
        <w:rPr>
          <w:rFonts w:hint="eastAsia"/>
          <w:sz w:val="28"/>
        </w:rPr>
        <w:t>）质量保证金及缴纳形式：</w:t>
      </w:r>
    </w:p>
    <w:p>
      <w:pPr>
        <w:ind w:firstLine="700" w:firstLineChars="250"/>
        <w:rPr>
          <w:sz w:val="28"/>
        </w:rPr>
      </w:pPr>
      <w:r>
        <w:rPr>
          <w:rFonts w:hint="eastAsia"/>
          <w:sz w:val="28"/>
        </w:rPr>
        <w:t>中标/成交供应商是否需要缴纳质量保证金：否</w:t>
      </w:r>
    </w:p>
    <w:p>
      <w:pPr>
        <w:ind w:firstLine="600" w:firstLineChars="250"/>
        <w:rPr>
          <w:sz w:val="24"/>
        </w:rPr>
      </w:pPr>
    </w:p>
    <w:p>
      <w:pPr>
        <w:widowControl/>
        <w:shd w:val="clear" w:color="auto" w:fill="FFFFFF"/>
        <w:spacing w:line="480" w:lineRule="auto"/>
        <w:ind w:firstLine="720" w:firstLineChars="300"/>
        <w:rPr>
          <w:rFonts w:ascii="宋体" w:hAnsi="宋体" w:eastAsia="宋体" w:cs="宋体"/>
          <w:color w:val="FF0000"/>
          <w:kern w:val="0"/>
          <w:sz w:val="24"/>
          <w:szCs w:val="24"/>
        </w:rPr>
      </w:pPr>
      <w:commentRangeStart w:id="1"/>
      <w:r>
        <w:rPr>
          <w:rFonts w:hint="eastAsia" w:ascii="宋体" w:hAnsi="宋体" w:eastAsia="宋体" w:cs="宋体"/>
          <w:color w:val="FF0000"/>
          <w:kern w:val="0"/>
          <w:sz w:val="24"/>
          <w:szCs w:val="24"/>
        </w:rPr>
        <w:t>合同支付约定</w:t>
      </w:r>
      <w:commentRangeEnd w:id="1"/>
      <w:r>
        <w:rPr>
          <w:rStyle w:val="19"/>
        </w:rPr>
        <w:commentReference w:id="1"/>
      </w:r>
      <w:bookmarkStart w:id="1" w:name="_GoBack"/>
      <w:bookmarkEnd w:id="1"/>
    </w:p>
    <w:p>
      <w:pPr>
        <w:widowControl/>
        <w:shd w:val="clear" w:color="auto" w:fill="FFFFFF"/>
        <w:spacing w:line="480" w:lineRule="auto"/>
        <w:ind w:firstLine="720" w:firstLineChars="300"/>
        <w:rPr>
          <w:rFonts w:ascii="宋体" w:hAnsi="宋体" w:eastAsia="宋体" w:cs="宋体"/>
          <w:color w:val="FF0000"/>
          <w:kern w:val="0"/>
          <w:sz w:val="24"/>
          <w:szCs w:val="24"/>
        </w:rPr>
      </w:pPr>
      <w:r>
        <w:rPr>
          <w:rFonts w:hint="eastAsia" w:ascii="宋体" w:hAnsi="宋体" w:eastAsia="宋体" w:cs="宋体"/>
          <w:color w:val="FF0000"/>
          <w:kern w:val="0"/>
          <w:sz w:val="24"/>
          <w:szCs w:val="24"/>
        </w:rPr>
        <w:t>付款</w:t>
      </w:r>
      <w:r>
        <w:rPr>
          <w:rFonts w:ascii="宋体" w:hAnsi="宋体" w:eastAsia="宋体" w:cs="宋体"/>
          <w:color w:val="FF0000"/>
          <w:kern w:val="0"/>
          <w:sz w:val="24"/>
          <w:szCs w:val="24"/>
        </w:rPr>
        <w:t>条件：</w:t>
      </w:r>
    </w:p>
    <w:p>
      <w:pPr>
        <w:pStyle w:val="66"/>
        <w:ind w:firstLine="480"/>
        <w:rPr>
          <w:rFonts w:hint="eastAsia"/>
        </w:rPr>
      </w:pPr>
      <w:r>
        <w:rPr>
          <w:rFonts w:hint="eastAsia"/>
        </w:rPr>
        <w:t>1、全部</w:t>
      </w:r>
      <w:r>
        <w:rPr>
          <w:rFonts w:hint="eastAsia"/>
          <w:lang w:val="en-US" w:eastAsia="zh-Hans"/>
        </w:rPr>
        <w:t>系统</w:t>
      </w:r>
      <w:r>
        <w:rPr>
          <w:rFonts w:hint="eastAsia"/>
        </w:rPr>
        <w:t>安装调试完毕并验收合格之日起，甲方接到乙方通知与票据凭证资料以后的</w:t>
      </w:r>
      <w:r>
        <w:rPr>
          <w:rFonts w:hint="default"/>
          <w:u w:val="single"/>
        </w:rPr>
        <w:t>30</w:t>
      </w:r>
      <w:r>
        <w:rPr>
          <w:rFonts w:hint="eastAsia"/>
        </w:rPr>
        <w:t>日内，按照财政性资金支付有关规定，向乙方支付合同价款￥</w:t>
      </w:r>
      <w:r>
        <w:rPr>
          <w:rFonts w:hint="default"/>
          <w:u w:val="single"/>
        </w:rPr>
        <w:t xml:space="preserve">       </w:t>
      </w:r>
      <w:r>
        <w:rPr>
          <w:rFonts w:hint="eastAsia"/>
        </w:rPr>
        <w:t>元，人民币大写</w:t>
      </w:r>
      <w:r>
        <w:rPr>
          <w:rFonts w:hint="default"/>
        </w:rPr>
        <w:t>：</w:t>
      </w:r>
      <w:r>
        <w:rPr>
          <w:rFonts w:hint="default" w:hAnsi="宋体" w:cs="宋体"/>
          <w:sz w:val="24"/>
          <w:szCs w:val="24"/>
          <w:u w:val="single"/>
          <w:lang w:eastAsia="zh-CN"/>
        </w:rPr>
        <w:t xml:space="preserve">         </w:t>
      </w:r>
      <w:r>
        <w:rPr>
          <w:rFonts w:hint="eastAsia"/>
        </w:rPr>
        <w:t>元整；</w:t>
      </w:r>
    </w:p>
    <w:p>
      <w:pPr>
        <w:spacing w:line="360" w:lineRule="auto"/>
        <w:ind w:firstLine="480" w:firstLineChars="200"/>
        <w:rPr>
          <w:rFonts w:hint="eastAsia" w:eastAsia="宋体"/>
          <w:b/>
          <w:sz w:val="24"/>
          <w:szCs w:val="24"/>
          <w:lang w:val="en-US" w:eastAsia="zh-Hans"/>
        </w:rPr>
      </w:pPr>
      <w:r>
        <w:rPr>
          <w:rFonts w:hint="default"/>
          <w:bCs/>
          <w:sz w:val="24"/>
          <w:szCs w:val="24"/>
          <w:highlight w:val="none"/>
        </w:rPr>
        <w:t>2、</w:t>
      </w:r>
      <w:r>
        <w:rPr>
          <w:rFonts w:hint="eastAsia"/>
          <w:bCs/>
          <w:sz w:val="24"/>
          <w:szCs w:val="24"/>
          <w:highlight w:val="none"/>
        </w:rPr>
        <w:t>合同签订前</w:t>
      </w:r>
      <w:r>
        <w:rPr>
          <w:rFonts w:hint="eastAsia"/>
          <w:bCs/>
          <w:sz w:val="24"/>
          <w:szCs w:val="24"/>
          <w:highlight w:val="none"/>
          <w:lang w:val="en-US" w:eastAsia="zh-Hans"/>
        </w:rPr>
        <w:t>乙方</w:t>
      </w:r>
      <w:r>
        <w:rPr>
          <w:rFonts w:hint="eastAsia"/>
          <w:bCs/>
          <w:sz w:val="24"/>
          <w:szCs w:val="24"/>
          <w:highlight w:val="none"/>
        </w:rPr>
        <w:t>需向</w:t>
      </w:r>
      <w:r>
        <w:rPr>
          <w:rFonts w:hint="eastAsia"/>
          <w:bCs/>
          <w:sz w:val="24"/>
          <w:szCs w:val="24"/>
          <w:highlight w:val="none"/>
          <w:lang w:val="en-US" w:eastAsia="zh-Hans"/>
        </w:rPr>
        <w:t>甲方</w:t>
      </w:r>
      <w:r>
        <w:rPr>
          <w:rFonts w:hint="eastAsia"/>
          <w:bCs/>
          <w:sz w:val="24"/>
          <w:szCs w:val="24"/>
          <w:highlight w:val="none"/>
        </w:rPr>
        <w:t>缴纳合同金额的5%作为履约保证金，</w:t>
      </w:r>
      <w:r>
        <w:rPr>
          <w:rFonts w:hint="eastAsia"/>
          <w:bCs/>
          <w:sz w:val="24"/>
          <w:szCs w:val="24"/>
          <w:highlight w:val="none"/>
          <w:lang w:val="en-US" w:eastAsia="zh-Hans"/>
        </w:rPr>
        <w:t>即</w:t>
      </w:r>
      <w:r>
        <w:rPr>
          <w:rFonts w:hint="eastAsia"/>
          <w:sz w:val="24"/>
          <w:szCs w:val="24"/>
        </w:rPr>
        <w:t>￥</w:t>
      </w:r>
      <w:r>
        <w:rPr>
          <w:rFonts w:hint="default"/>
          <w:sz w:val="24"/>
          <w:szCs w:val="24"/>
        </w:rPr>
        <w:t xml:space="preserve"> </w:t>
      </w:r>
      <w:r>
        <w:rPr>
          <w:rFonts w:hint="default"/>
          <w:sz w:val="24"/>
          <w:szCs w:val="24"/>
          <w:u w:val="single"/>
        </w:rPr>
        <w:t xml:space="preserve">     </w:t>
      </w:r>
      <w:r>
        <w:rPr>
          <w:rFonts w:hint="eastAsia"/>
          <w:sz w:val="24"/>
          <w:szCs w:val="24"/>
        </w:rPr>
        <w:t>元，人民币大写</w:t>
      </w:r>
      <w:r>
        <w:rPr>
          <w:rFonts w:hint="default"/>
          <w:sz w:val="24"/>
          <w:szCs w:val="24"/>
        </w:rPr>
        <w:t>：</w:t>
      </w:r>
      <w:r>
        <w:rPr>
          <w:rFonts w:hint="default"/>
          <w:sz w:val="24"/>
          <w:szCs w:val="24"/>
          <w:u w:val="single"/>
        </w:rPr>
        <w:t xml:space="preserve">       </w:t>
      </w:r>
      <w:r>
        <w:rPr>
          <w:rFonts w:hint="eastAsia"/>
          <w:sz w:val="24"/>
          <w:szCs w:val="24"/>
        </w:rPr>
        <w:t>元整；</w:t>
      </w:r>
    </w:p>
    <w:p>
      <w:pPr>
        <w:pStyle w:val="66"/>
        <w:ind w:firstLine="480"/>
        <w:rPr>
          <w:rFonts w:ascii="宋体" w:hAnsi="宋体" w:eastAsia="宋体" w:cs="宋体"/>
          <w:color w:val="FF0000"/>
          <w:kern w:val="0"/>
          <w:sz w:val="24"/>
          <w:szCs w:val="24"/>
        </w:rPr>
      </w:pPr>
      <w:r>
        <w:rPr>
          <w:rFonts w:hint="eastAsia"/>
        </w:rPr>
        <w:t>3、乙方须向甲方出具合法有效完整的完税发票及凭证资料进行支付结算。</w:t>
      </w:r>
    </w:p>
    <w:p>
      <w:pPr>
        <w:widowControl/>
        <w:shd w:val="clear" w:color="auto" w:fill="FFFFFF"/>
        <w:spacing w:line="480" w:lineRule="auto"/>
        <w:ind w:firstLine="720" w:firstLineChars="300"/>
        <w:rPr>
          <w:rFonts w:ascii="宋体" w:hAnsi="宋体" w:eastAsia="宋体" w:cs="宋体"/>
          <w:color w:val="FF0000"/>
          <w:kern w:val="0"/>
          <w:sz w:val="24"/>
          <w:szCs w:val="24"/>
        </w:rPr>
      </w:pPr>
      <w:r>
        <w:rPr>
          <w:rFonts w:hint="eastAsia" w:ascii="宋体" w:hAnsi="宋体" w:eastAsia="宋体" w:cs="宋体"/>
          <w:color w:val="FF0000"/>
          <w:kern w:val="0"/>
          <w:sz w:val="24"/>
          <w:szCs w:val="24"/>
        </w:rPr>
        <w:t>达到付款</w:t>
      </w:r>
      <w:r>
        <w:rPr>
          <w:rFonts w:ascii="宋体" w:hAnsi="宋体" w:eastAsia="宋体" w:cs="宋体"/>
          <w:color w:val="FF0000"/>
          <w:kern w:val="0"/>
          <w:sz w:val="24"/>
          <w:szCs w:val="24"/>
        </w:rPr>
        <w:t>条件起</w:t>
      </w:r>
      <w:r>
        <w:rPr>
          <w:rFonts w:hint="default" w:ascii="宋体" w:hAnsi="宋体" w:eastAsia="宋体" w:cs="宋体"/>
          <w:color w:val="FF0000"/>
          <w:kern w:val="0"/>
          <w:sz w:val="24"/>
          <w:szCs w:val="24"/>
        </w:rPr>
        <w:t>30</w:t>
      </w:r>
      <w:r>
        <w:rPr>
          <w:rFonts w:hint="eastAsia" w:ascii="宋体" w:hAnsi="宋体" w:eastAsia="宋体" w:cs="宋体"/>
          <w:color w:val="FF0000"/>
          <w:kern w:val="0"/>
          <w:sz w:val="24"/>
          <w:szCs w:val="24"/>
        </w:rPr>
        <w:t>日</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支付合同</w:t>
      </w:r>
      <w:r>
        <w:rPr>
          <w:rFonts w:ascii="宋体" w:hAnsi="宋体" w:eastAsia="宋体" w:cs="宋体"/>
          <w:color w:val="FF0000"/>
          <w:kern w:val="0"/>
          <w:sz w:val="24"/>
          <w:szCs w:val="24"/>
        </w:rPr>
        <w:t>总金额</w:t>
      </w:r>
      <w:r>
        <w:rPr>
          <w:rFonts w:hint="eastAsia" w:ascii="宋体" w:hAnsi="宋体" w:eastAsia="宋体" w:cs="宋体"/>
          <w:color w:val="FF0000"/>
          <w:kern w:val="0"/>
          <w:sz w:val="24"/>
          <w:szCs w:val="24"/>
        </w:rPr>
        <w:t xml:space="preserve"> </w:t>
      </w:r>
      <w:r>
        <w:rPr>
          <w:rFonts w:hint="default" w:ascii="宋体" w:hAnsi="宋体" w:eastAsia="宋体" w:cs="宋体"/>
          <w:color w:val="FF0000"/>
          <w:kern w:val="0"/>
          <w:sz w:val="24"/>
          <w:szCs w:val="24"/>
        </w:rPr>
        <w:t>60</w:t>
      </w:r>
      <w:r>
        <w:rPr>
          <w:rFonts w:ascii="宋体" w:hAnsi="宋体" w:eastAsia="宋体" w:cs="宋体"/>
          <w:color w:val="FF0000"/>
          <w:kern w:val="0"/>
          <w:sz w:val="24"/>
          <w:szCs w:val="24"/>
        </w:rPr>
        <w:t>%。</w:t>
      </w:r>
    </w:p>
    <w:p>
      <w:pPr>
        <w:widowControl/>
        <w:shd w:val="clear" w:color="auto" w:fill="FFFFFF"/>
        <w:spacing w:line="480" w:lineRule="auto"/>
        <w:ind w:firstLine="720" w:firstLineChars="300"/>
        <w:rPr>
          <w:rFonts w:hint="eastAsia" w:ascii="宋体" w:hAnsi="宋体" w:cs="宋体" w:eastAsiaTheme="minorEastAsia"/>
          <w:color w:val="FF0000"/>
          <w:kern w:val="0"/>
          <w:sz w:val="24"/>
          <w:szCs w:val="24"/>
          <w:lang w:val="en-US" w:eastAsia="zh-Hans"/>
        </w:rPr>
      </w:pPr>
      <w:r>
        <w:rPr>
          <w:rFonts w:hint="eastAsia" w:ascii="宋体" w:hAnsi="宋体" w:eastAsia="宋体" w:cs="宋体"/>
          <w:color w:val="FF0000"/>
          <w:kern w:val="0"/>
          <w:sz w:val="24"/>
          <w:szCs w:val="24"/>
        </w:rPr>
        <w:t>分期付款条件（如有）：</w:t>
      </w:r>
      <w:r>
        <w:rPr>
          <w:rFonts w:hint="eastAsia"/>
        </w:rPr>
        <w:t>全部</w:t>
      </w:r>
      <w:r>
        <w:rPr>
          <w:rFonts w:hint="eastAsia"/>
          <w:lang w:val="en-US" w:eastAsia="zh-Hans"/>
        </w:rPr>
        <w:t>系统</w:t>
      </w:r>
      <w:r>
        <w:rPr>
          <w:rFonts w:hint="eastAsia"/>
        </w:rPr>
        <w:t>安装调试完毕并验收合格之</w:t>
      </w:r>
      <w:r>
        <w:rPr>
          <w:rFonts w:hint="eastAsia"/>
          <w:lang w:val="en-US" w:eastAsia="zh-Hans"/>
        </w:rPr>
        <w:t>后</w:t>
      </w:r>
    </w:p>
    <w:p>
      <w:pPr>
        <w:widowControl/>
        <w:shd w:val="clear" w:color="auto" w:fill="FFFFFF"/>
        <w:spacing w:line="480" w:lineRule="auto"/>
        <w:ind w:firstLine="720" w:firstLineChars="300"/>
        <w:rPr>
          <w:rFonts w:ascii="宋体" w:hAnsi="宋体" w:eastAsia="宋体" w:cs="宋体"/>
          <w:color w:val="FF0000"/>
          <w:kern w:val="0"/>
          <w:sz w:val="24"/>
          <w:szCs w:val="24"/>
        </w:rPr>
      </w:pPr>
      <w:r>
        <w:rPr>
          <w:rFonts w:hint="eastAsia" w:ascii="宋体" w:hAnsi="宋体" w:eastAsia="宋体" w:cs="宋体"/>
          <w:color w:val="FF0000"/>
          <w:kern w:val="0"/>
          <w:sz w:val="24"/>
          <w:szCs w:val="24"/>
        </w:rPr>
        <w:t>达到付款</w:t>
      </w:r>
      <w:r>
        <w:rPr>
          <w:rFonts w:ascii="宋体" w:hAnsi="宋体" w:eastAsia="宋体" w:cs="宋体"/>
          <w:color w:val="FF0000"/>
          <w:kern w:val="0"/>
          <w:sz w:val="24"/>
          <w:szCs w:val="24"/>
        </w:rPr>
        <w:t>条件起</w:t>
      </w:r>
      <w:r>
        <w:rPr>
          <w:rFonts w:hint="default" w:ascii="宋体" w:hAnsi="宋体" w:eastAsia="宋体" w:cs="宋体"/>
          <w:color w:val="FF0000"/>
          <w:kern w:val="0"/>
          <w:sz w:val="24"/>
          <w:szCs w:val="24"/>
        </w:rPr>
        <w:t>30</w:t>
      </w:r>
      <w:r>
        <w:rPr>
          <w:rFonts w:hint="eastAsia" w:ascii="宋体" w:hAnsi="宋体" w:eastAsia="宋体" w:cs="宋体"/>
          <w:color w:val="FF0000"/>
          <w:kern w:val="0"/>
          <w:sz w:val="24"/>
          <w:szCs w:val="24"/>
        </w:rPr>
        <w:t>日</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支付合同</w:t>
      </w:r>
      <w:r>
        <w:rPr>
          <w:rFonts w:ascii="宋体" w:hAnsi="宋体" w:eastAsia="宋体" w:cs="宋体"/>
          <w:color w:val="FF0000"/>
          <w:kern w:val="0"/>
          <w:sz w:val="24"/>
          <w:szCs w:val="24"/>
        </w:rPr>
        <w:t>总金额</w:t>
      </w:r>
      <w:r>
        <w:rPr>
          <w:rFonts w:hint="default" w:ascii="宋体" w:hAnsi="宋体" w:eastAsia="宋体" w:cs="宋体"/>
          <w:color w:val="FF0000"/>
          <w:kern w:val="0"/>
          <w:sz w:val="24"/>
          <w:szCs w:val="24"/>
        </w:rPr>
        <w:t>40</w:t>
      </w:r>
      <w:r>
        <w:rPr>
          <w:rFonts w:ascii="宋体" w:hAnsi="宋体" w:eastAsia="宋体" w:cs="宋体"/>
          <w:color w:val="FF0000"/>
          <w:kern w:val="0"/>
          <w:sz w:val="24"/>
          <w:szCs w:val="24"/>
        </w:rPr>
        <w:t>%。</w:t>
      </w:r>
    </w:p>
    <w:p>
      <w:pPr>
        <w:widowControl/>
        <w:numPr>
          <w:ilvl w:val="0"/>
          <w:numId w:val="14"/>
        </w:numPr>
        <w:shd w:val="clear" w:color="auto" w:fill="FFFFFF"/>
        <w:spacing w:line="240" w:lineRule="auto"/>
        <w:ind w:firstLine="840"/>
        <w:rPr>
          <w:rFonts w:ascii="宋体" w:hAnsi="宋体" w:eastAsia="宋体" w:cs="宋体"/>
          <w:color w:val="FF0000"/>
          <w:kern w:val="0"/>
          <w:sz w:val="24"/>
          <w:szCs w:val="24"/>
        </w:rPr>
      </w:pPr>
      <w:r>
        <w:rPr>
          <w:rFonts w:hint="eastAsia" w:ascii="宋体" w:hAnsi="宋体" w:eastAsia="宋体" w:cs="宋体"/>
          <w:color w:val="FF0000"/>
          <w:kern w:val="0"/>
          <w:sz w:val="24"/>
          <w:szCs w:val="24"/>
        </w:rPr>
        <w:t>验收交付标准和方法：</w:t>
      </w:r>
    </w:p>
    <w:p>
      <w:pPr>
        <w:widowControl/>
        <w:numPr>
          <w:ilvl w:val="0"/>
          <w:numId w:val="0"/>
        </w:numPr>
        <w:shd w:val="clear" w:color="auto" w:fill="FFFFFF"/>
        <w:spacing w:line="240" w:lineRule="auto"/>
        <w:ind w:firstLine="480" w:firstLineChars="200"/>
        <w:rPr>
          <w:rFonts w:ascii="宋体" w:hAnsi="宋体" w:eastAsia="宋体" w:cs="宋体"/>
          <w:color w:val="FF0000"/>
          <w:kern w:val="0"/>
          <w:sz w:val="24"/>
          <w:szCs w:val="24"/>
        </w:rPr>
      </w:pPr>
      <w:r>
        <w:rPr>
          <w:rFonts w:hint="eastAsia" w:ascii="宋体" w:hAnsi="宋体" w:eastAsia="宋体" w:cs="宋体"/>
          <w:b w:val="0"/>
          <w:bCs w:val="0"/>
          <w:color w:val="auto"/>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hd w:val="clear" w:color="auto" w:fill="FFFFFF"/>
        <w:spacing w:line="480" w:lineRule="auto"/>
        <w:ind w:firstLine="840"/>
        <w:rPr>
          <w:rFonts w:ascii="宋体" w:hAnsi="宋体" w:eastAsia="宋体" w:cs="宋体"/>
          <w:color w:val="FF0000"/>
          <w:kern w:val="0"/>
          <w:sz w:val="24"/>
          <w:szCs w:val="24"/>
        </w:rPr>
      </w:pPr>
      <w:r>
        <w:rPr>
          <w:rFonts w:ascii="宋体" w:hAnsi="宋体" w:eastAsia="宋体" w:cs="宋体"/>
          <w:color w:val="FF0000"/>
          <w:kern w:val="0"/>
          <w:sz w:val="24"/>
          <w:szCs w:val="24"/>
        </w:rPr>
        <w:t>8</w:t>
      </w:r>
      <w:r>
        <w:rPr>
          <w:rFonts w:hint="eastAsia" w:ascii="宋体" w:hAnsi="宋体" w:eastAsia="宋体" w:cs="宋体"/>
          <w:color w:val="FF0000"/>
          <w:kern w:val="0"/>
          <w:sz w:val="24"/>
          <w:szCs w:val="24"/>
        </w:rPr>
        <w:t>）质量保修范围和保修期：</w:t>
      </w:r>
    </w:p>
    <w:p>
      <w:pPr>
        <w:pStyle w:val="61"/>
        <w:ind w:firstLine="480"/>
        <w:rPr>
          <w:rFonts w:ascii="宋体" w:hAnsi="宋体" w:eastAsia="宋体" w:cs="宋体"/>
        </w:rPr>
      </w:pPr>
      <w:r>
        <w:rPr>
          <w:rFonts w:hint="eastAsia" w:ascii="宋体" w:hAnsi="宋体" w:eastAsia="宋体" w:cs="宋体"/>
        </w:rPr>
        <w:t>1、</w:t>
      </w:r>
      <w:r>
        <w:rPr>
          <w:rFonts w:hint="eastAsia" w:ascii="宋体" w:hAnsi="宋体" w:eastAsia="宋体" w:cs="宋体"/>
          <w:lang w:eastAsia="zh-Hans"/>
        </w:rPr>
        <w:t>乙方</w:t>
      </w:r>
      <w:r>
        <w:rPr>
          <w:rFonts w:hint="eastAsia" w:ascii="宋体" w:hAnsi="宋体" w:eastAsia="宋体" w:cs="宋体"/>
        </w:rPr>
        <w:t>在本项目所在地有售后服务机构且配备本项目所在地专职售后服务队伍</w:t>
      </w:r>
      <w:r>
        <w:rPr>
          <w:rFonts w:ascii="宋体" w:hAnsi="宋体" w:eastAsia="宋体" w:cs="宋体"/>
        </w:rPr>
        <w:t>。</w:t>
      </w:r>
      <w:r>
        <w:rPr>
          <w:rFonts w:hint="eastAsia" w:ascii="宋体" w:hAnsi="宋体" w:eastAsia="宋体" w:cs="宋体"/>
        </w:rPr>
        <w:t>项目终验合格后</w:t>
      </w:r>
      <w:r>
        <w:rPr>
          <w:rFonts w:hint="eastAsia" w:ascii="宋体" w:hAnsi="宋体" w:eastAsia="宋体" w:cs="宋体"/>
          <w:lang w:val="en-US" w:eastAsia="zh-Hans"/>
        </w:rPr>
        <w:t>两</w:t>
      </w:r>
      <w:r>
        <w:rPr>
          <w:rFonts w:hint="eastAsia" w:ascii="宋体" w:hAnsi="宋体" w:eastAsia="宋体" w:cs="宋体"/>
        </w:rPr>
        <w:t>年内为项目质保期。</w:t>
      </w:r>
    </w:p>
    <w:p>
      <w:pPr>
        <w:pStyle w:val="61"/>
        <w:ind w:firstLine="480"/>
        <w:rPr>
          <w:rFonts w:ascii="宋体" w:hAnsi="宋体" w:eastAsia="宋体" w:cs="宋体"/>
        </w:rPr>
      </w:pPr>
      <w:r>
        <w:rPr>
          <w:rFonts w:ascii="宋体" w:hAnsi="宋体" w:eastAsia="宋体" w:cs="宋体"/>
        </w:rPr>
        <w:t>2、</w:t>
      </w:r>
      <w:r>
        <w:rPr>
          <w:rFonts w:hint="eastAsia" w:ascii="宋体" w:hAnsi="宋体" w:eastAsia="宋体" w:cs="宋体"/>
          <w:lang w:eastAsia="zh-Hans"/>
        </w:rPr>
        <w:t>乙方</w:t>
      </w:r>
      <w:r>
        <w:rPr>
          <w:rFonts w:hint="eastAsia" w:ascii="宋体" w:hAnsi="宋体" w:eastAsia="宋体" w:cs="宋体"/>
        </w:rPr>
        <w:t>采用云服务的形式自行搭建在线平台，保证系统的功能和性能要求，提供平台的系统运维及数据备查服务。</w:t>
      </w:r>
    </w:p>
    <w:p>
      <w:pPr>
        <w:pStyle w:val="61"/>
        <w:ind w:firstLine="480"/>
        <w:rPr>
          <w:rFonts w:ascii="宋体" w:hAnsi="宋体" w:eastAsia="宋体" w:cs="宋体"/>
        </w:rPr>
      </w:pPr>
      <w:r>
        <w:rPr>
          <w:rFonts w:ascii="宋体" w:hAnsi="宋体" w:eastAsia="宋体" w:cs="宋体"/>
        </w:rPr>
        <w:t>3、</w:t>
      </w:r>
      <w:r>
        <w:rPr>
          <w:rFonts w:hint="eastAsia" w:ascii="宋体" w:hAnsi="宋体" w:eastAsia="宋体" w:cs="宋体"/>
          <w:lang w:eastAsia="zh-Hans"/>
        </w:rPr>
        <w:t>乙方</w:t>
      </w:r>
      <w:r>
        <w:rPr>
          <w:rFonts w:hint="eastAsia" w:ascii="宋体" w:hAnsi="宋体" w:eastAsia="宋体" w:cs="宋体"/>
        </w:rPr>
        <w:t>负责现场系统的安装调试及后续服务保障过程中与系统更新和维护相关的工作。负责在线监控平台的运行维护，系统平台故障诊断、恢复响应时间＜4小时</w:t>
      </w:r>
    </w:p>
    <w:p>
      <w:pPr>
        <w:pStyle w:val="61"/>
        <w:ind w:firstLine="480"/>
        <w:rPr>
          <w:rFonts w:ascii="宋体" w:hAnsi="宋体" w:eastAsia="宋体" w:cs="宋体"/>
        </w:rPr>
      </w:pPr>
      <w:r>
        <w:rPr>
          <w:rFonts w:ascii="宋体" w:hAnsi="宋体" w:eastAsia="宋体" w:cs="宋体"/>
        </w:rPr>
        <w:t>4、</w:t>
      </w:r>
      <w:r>
        <w:rPr>
          <w:rFonts w:hint="eastAsia" w:ascii="宋体" w:hAnsi="宋体" w:eastAsia="宋体" w:cs="宋体"/>
          <w:lang w:eastAsia="zh-Hans"/>
        </w:rPr>
        <w:t>乙方</w:t>
      </w:r>
      <w:r>
        <w:rPr>
          <w:rFonts w:hint="eastAsia" w:ascii="宋体" w:hAnsi="宋体" w:eastAsia="宋体" w:cs="宋体"/>
        </w:rPr>
        <w:t>具备完整的数据质控体系，运维过程中提供详细的数据质控解决方案。</w:t>
      </w:r>
    </w:p>
    <w:p>
      <w:pPr>
        <w:pStyle w:val="61"/>
        <w:ind w:firstLine="480"/>
        <w:rPr>
          <w:rFonts w:ascii="宋体" w:hAnsi="宋体" w:eastAsia="宋体" w:cs="宋体"/>
        </w:rPr>
      </w:pPr>
      <w:r>
        <w:rPr>
          <w:rFonts w:ascii="宋体" w:hAnsi="宋体" w:eastAsia="宋体" w:cs="宋体"/>
        </w:rPr>
        <w:t>5、</w:t>
      </w:r>
      <w:r>
        <w:rPr>
          <w:rFonts w:hint="eastAsia" w:ascii="宋体" w:hAnsi="宋体" w:eastAsia="宋体" w:cs="宋体"/>
          <w:lang w:eastAsia="zh-Hans"/>
        </w:rPr>
        <w:t>乙方</w:t>
      </w:r>
      <w:r>
        <w:rPr>
          <w:rFonts w:hint="eastAsia" w:ascii="宋体" w:hAnsi="宋体" w:eastAsia="宋体" w:cs="宋体"/>
        </w:rPr>
        <w:t>具备智能化的运维支撑系统，以辅助监管设备和平台的运行状态，及时发现故障，提高处理故障的响应速度。</w:t>
      </w:r>
    </w:p>
    <w:p>
      <w:pPr>
        <w:pStyle w:val="61"/>
        <w:ind w:firstLine="480"/>
        <w:rPr>
          <w:rFonts w:ascii="宋体" w:hAnsi="宋体" w:eastAsia="宋体" w:cs="宋体"/>
        </w:rPr>
      </w:pPr>
      <w:r>
        <w:rPr>
          <w:rFonts w:ascii="宋体" w:hAnsi="宋体" w:eastAsia="宋体" w:cs="宋体"/>
        </w:rPr>
        <w:t>6、</w:t>
      </w:r>
      <w:r>
        <w:rPr>
          <w:rFonts w:hint="eastAsia" w:ascii="宋体" w:hAnsi="宋体" w:eastAsia="宋体" w:cs="宋体"/>
          <w:lang w:eastAsia="zh-Hans"/>
        </w:rPr>
        <w:t>乙方</w:t>
      </w:r>
      <w:r>
        <w:rPr>
          <w:rFonts w:hint="eastAsia" w:ascii="宋体" w:hAnsi="宋体" w:eastAsia="宋体" w:cs="宋体"/>
        </w:rPr>
        <w:t>提供每周正常工作日</w:t>
      </w:r>
      <w:r>
        <w:rPr>
          <w:rFonts w:ascii="宋体" w:hAnsi="宋体" w:eastAsia="宋体" w:cs="宋体"/>
        </w:rPr>
        <w:t>7</w:t>
      </w:r>
      <w:r>
        <w:rPr>
          <w:rFonts w:hint="eastAsia" w:ascii="宋体" w:hAnsi="宋体" w:eastAsia="宋体" w:cs="宋体"/>
        </w:rPr>
        <w:t>×</w:t>
      </w:r>
      <w:r>
        <w:rPr>
          <w:rFonts w:ascii="宋体" w:hAnsi="宋体" w:eastAsia="宋体" w:cs="宋体"/>
        </w:rPr>
        <w:t>24</w:t>
      </w:r>
      <w:r>
        <w:rPr>
          <w:rFonts w:hint="eastAsia" w:ascii="宋体" w:hAnsi="宋体" w:eastAsia="宋体" w:cs="宋体"/>
        </w:rPr>
        <w:t>小时热线电话技术咨询服务。</w:t>
      </w:r>
    </w:p>
    <w:p>
      <w:pPr>
        <w:pStyle w:val="61"/>
        <w:ind w:firstLine="480"/>
        <w:rPr>
          <w:rFonts w:ascii="宋体" w:hAnsi="宋体" w:eastAsia="宋体" w:cs="宋体"/>
          <w:color w:val="FF0000"/>
          <w:kern w:val="0"/>
          <w:sz w:val="24"/>
          <w:szCs w:val="24"/>
        </w:rPr>
      </w:pPr>
      <w:r>
        <w:rPr>
          <w:rFonts w:ascii="宋体" w:hAnsi="宋体" w:eastAsia="宋体" w:cs="宋体"/>
        </w:rPr>
        <w:t>7、</w:t>
      </w:r>
      <w:r>
        <w:rPr>
          <w:rFonts w:hint="eastAsia" w:ascii="宋体" w:hAnsi="宋体" w:eastAsia="宋体" w:cs="宋体"/>
          <w:lang w:eastAsia="zh-Hans"/>
        </w:rPr>
        <w:t>乙方</w:t>
      </w:r>
      <w:r>
        <w:rPr>
          <w:rFonts w:hint="eastAsia" w:ascii="宋体" w:hAnsi="宋体" w:eastAsia="宋体" w:cs="宋体"/>
        </w:rPr>
        <w:t>对甲方相关人员进行必要的系统操作培训。</w:t>
      </w:r>
    </w:p>
    <w:p>
      <w:pPr>
        <w:widowControl/>
        <w:shd w:val="clear" w:color="auto" w:fill="FFFFFF"/>
        <w:spacing w:line="480" w:lineRule="auto"/>
        <w:ind w:firstLine="840"/>
        <w:rPr>
          <w:rFonts w:ascii="宋体" w:hAnsi="宋体" w:eastAsia="宋体" w:cs="宋体"/>
          <w:color w:val="FF0000"/>
          <w:kern w:val="0"/>
          <w:sz w:val="24"/>
          <w:szCs w:val="24"/>
        </w:rPr>
      </w:pPr>
      <w:r>
        <w:rPr>
          <w:rFonts w:ascii="宋体" w:hAnsi="宋体" w:eastAsia="宋体" w:cs="宋体"/>
          <w:color w:val="FF0000"/>
          <w:kern w:val="0"/>
          <w:sz w:val="24"/>
          <w:szCs w:val="24"/>
        </w:rPr>
        <w:t>9</w:t>
      </w:r>
      <w:r>
        <w:rPr>
          <w:rFonts w:hint="eastAsia" w:ascii="宋体" w:hAnsi="宋体" w:eastAsia="宋体" w:cs="宋体"/>
          <w:color w:val="FF0000"/>
          <w:kern w:val="0"/>
          <w:sz w:val="24"/>
          <w:szCs w:val="24"/>
        </w:rPr>
        <w:t>）知识产权归属和处理方式：</w:t>
      </w:r>
    </w:p>
    <w:p>
      <w:pPr>
        <w:tabs>
          <w:tab w:val="left" w:pos="1440"/>
        </w:tabs>
        <w:spacing w:line="440" w:lineRule="exact"/>
        <w:ind w:firstLine="480" w:firstLineChars="200"/>
        <w:rPr>
          <w:rFonts w:ascii="宋体" w:hAnsi="宋体" w:eastAsia="宋体" w:cs="宋体"/>
          <w:color w:val="FF0000"/>
          <w:kern w:val="0"/>
          <w:sz w:val="24"/>
          <w:szCs w:val="24"/>
        </w:rPr>
      </w:pPr>
      <w:r>
        <w:rPr>
          <w:rFonts w:hint="eastAsia" w:ascii="宋体" w:hAnsi="宋体" w:eastAsia="宋体" w:cs="宋体"/>
          <w:sz w:val="24"/>
        </w:rPr>
        <w:t>乙方应保证所提供的服务或其任何一部分均不会侵犯任何第三方的专利权、商标权或著作权等知识产权。</w:t>
      </w:r>
    </w:p>
    <w:p>
      <w:pPr>
        <w:widowControl/>
        <w:shd w:val="clear" w:color="auto" w:fill="FFFFFF"/>
        <w:spacing w:line="480" w:lineRule="auto"/>
        <w:ind w:firstLine="840"/>
        <w:rPr>
          <w:rFonts w:ascii="宋体" w:hAnsi="宋体" w:eastAsia="宋体" w:cs="宋体"/>
          <w:color w:val="FF0000"/>
          <w:kern w:val="0"/>
          <w:sz w:val="24"/>
          <w:szCs w:val="24"/>
        </w:rPr>
      </w:pP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0</w:t>
      </w:r>
      <w:r>
        <w:rPr>
          <w:rFonts w:hint="eastAsia" w:ascii="宋体" w:hAnsi="宋体" w:eastAsia="宋体" w:cs="宋体"/>
          <w:color w:val="FF0000"/>
          <w:kern w:val="0"/>
          <w:sz w:val="24"/>
          <w:szCs w:val="24"/>
        </w:rPr>
        <w:t>）成本补偿和风险分担约定：</w:t>
      </w:r>
    </w:p>
    <w:p>
      <w:pPr>
        <w:tabs>
          <w:tab w:val="left" w:pos="1440"/>
        </w:tabs>
        <w:spacing w:line="440" w:lineRule="exact"/>
        <w:ind w:firstLine="480" w:firstLineChars="200"/>
        <w:rPr>
          <w:rFonts w:ascii="宋体" w:hAnsi="宋体" w:eastAsia="宋体" w:cs="宋体"/>
          <w:color w:val="FF0000"/>
          <w:kern w:val="0"/>
          <w:sz w:val="24"/>
          <w:szCs w:val="24"/>
        </w:rPr>
      </w:pPr>
      <w:r>
        <w:rPr>
          <w:rFonts w:hint="eastAsia" w:ascii="宋体" w:hAnsi="宋体" w:eastAsia="宋体" w:cs="宋体"/>
          <w:sz w:val="24"/>
        </w:rPr>
        <w:t>乙方保证所提供的服务的所有权完全属于乙方且无任何抵押、查封等产权瑕疵。如有产权瑕疵的，视为乙方违约。乙方应负担由此而产生的一切损失。</w:t>
      </w:r>
    </w:p>
    <w:p>
      <w:pPr>
        <w:widowControl/>
        <w:numPr>
          <w:ilvl w:val="0"/>
          <w:numId w:val="15"/>
        </w:numPr>
        <w:shd w:val="clear" w:color="auto" w:fill="FFFFFF"/>
        <w:spacing w:line="480" w:lineRule="auto"/>
        <w:ind w:firstLine="84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违约责任与解决争议的方法：</w:t>
      </w:r>
    </w:p>
    <w:p>
      <w:pPr>
        <w:pStyle w:val="66"/>
        <w:spacing w:line="400" w:lineRule="exact"/>
        <w:ind w:firstLine="4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pPr>
        <w:pStyle w:val="66"/>
        <w:spacing w:line="400" w:lineRule="exact"/>
        <w:ind w:firstLine="4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2、合同履行期间,若双方发生争议，可协商或由有关部门调解解决，协商或调解不成的，</w:t>
      </w:r>
      <w:r>
        <w:rPr>
          <w:rFonts w:hint="eastAsia" w:asciiTheme="minorEastAsia" w:hAnsiTheme="minorEastAsia" w:eastAsiaTheme="minorEastAsia"/>
          <w:color w:val="000000" w:themeColor="text1"/>
          <w14:textFill>
            <w14:solidFill>
              <w14:schemeClr w14:val="tx1"/>
            </w14:solidFill>
          </w14:textFill>
        </w:rPr>
        <w:t>提交甲方所在地人民法院诉讼解决</w:t>
      </w:r>
      <w:r>
        <w:rPr>
          <w:rFonts w:asciiTheme="minorEastAsia" w:hAnsiTheme="minorEastAsia" w:eastAsiaTheme="minorEastAsia"/>
          <w:color w:val="000000" w:themeColor="text1"/>
          <w14:textFill>
            <w14:solidFill>
              <w14:schemeClr w14:val="tx1"/>
            </w14:solidFill>
          </w14:textFill>
        </w:rPr>
        <w:t>。</w:t>
      </w:r>
    </w:p>
    <w:p>
      <w:pPr>
        <w:pStyle w:val="2"/>
        <w:numPr>
          <w:ilvl w:val="0"/>
          <w:numId w:val="0"/>
        </w:numPr>
      </w:pPr>
    </w:p>
    <w:p>
      <w:pPr>
        <w:widowControl/>
        <w:shd w:val="clear" w:color="auto" w:fill="FFFFFF"/>
        <w:spacing w:line="480" w:lineRule="auto"/>
        <w:ind w:firstLine="840"/>
        <w:rPr>
          <w:rFonts w:ascii="宋体" w:hAnsi="宋体" w:eastAsia="宋体" w:cs="宋体"/>
          <w:color w:val="FF0000"/>
          <w:kern w:val="0"/>
          <w:sz w:val="24"/>
          <w:szCs w:val="24"/>
        </w:rPr>
      </w:pP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2</w:t>
      </w:r>
      <w:r>
        <w:rPr>
          <w:rFonts w:hint="eastAsia" w:ascii="宋体" w:hAnsi="宋体" w:eastAsia="宋体" w:cs="宋体"/>
          <w:color w:val="FF0000"/>
          <w:kern w:val="0"/>
          <w:sz w:val="24"/>
          <w:szCs w:val="24"/>
        </w:rPr>
        <w:t>）合同其他条款：</w:t>
      </w:r>
    </w:p>
    <w:p>
      <w:pPr>
        <w:pStyle w:val="6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1．合同经双方法定代表人或授权委托代理人签字并加盖单位公章后生效。</w:t>
      </w:r>
    </w:p>
    <w:p>
      <w:pPr>
        <w:pStyle w:val="6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2．合同执行中涉及采购资金和采购内容修改或补充的须签书面补充协议，方可具备法律效力。</w:t>
      </w:r>
    </w:p>
    <w:p>
      <w:pPr>
        <w:pStyle w:val="6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3．本合同一式</w:t>
      </w:r>
      <w:r>
        <w:rPr>
          <w:rFonts w:hint="eastAsia" w:ascii="宋体" w:hAnsi="宋体" w:eastAsia="宋体" w:cs="宋体"/>
          <w:sz w:val="24"/>
          <w:szCs w:val="24"/>
          <w:lang w:eastAsia="zh-Hans"/>
        </w:rPr>
        <w:t>六</w:t>
      </w:r>
      <w:r>
        <w:rPr>
          <w:rFonts w:hint="eastAsia" w:ascii="宋体" w:hAnsi="宋体" w:eastAsia="宋体" w:cs="宋体"/>
          <w:sz w:val="24"/>
          <w:szCs w:val="24"/>
        </w:rPr>
        <w:t>份，自双方签章之日起起效。甲方</w:t>
      </w:r>
      <w:r>
        <w:rPr>
          <w:rFonts w:hint="eastAsia" w:ascii="宋体" w:hAnsi="宋体" w:eastAsia="宋体" w:cs="宋体"/>
          <w:sz w:val="24"/>
          <w:szCs w:val="24"/>
          <w:lang w:eastAsia="zh-Hans"/>
        </w:rPr>
        <w:t>三</w:t>
      </w:r>
      <w:r>
        <w:rPr>
          <w:rFonts w:hint="eastAsia" w:ascii="宋体" w:hAnsi="宋体" w:eastAsia="宋体" w:cs="宋体"/>
          <w:sz w:val="24"/>
          <w:szCs w:val="24"/>
        </w:rPr>
        <w:t>份，乙方</w:t>
      </w:r>
      <w:r>
        <w:rPr>
          <w:rFonts w:hint="eastAsia" w:ascii="宋体" w:hAnsi="宋体" w:eastAsia="宋体" w:cs="宋体"/>
          <w:sz w:val="24"/>
          <w:szCs w:val="24"/>
          <w:lang w:eastAsia="zh-Hans"/>
        </w:rPr>
        <w:t>三</w:t>
      </w:r>
      <w:r>
        <w:rPr>
          <w:rFonts w:hint="eastAsia" w:ascii="宋体" w:hAnsi="宋体" w:eastAsia="宋体" w:cs="宋体"/>
          <w:sz w:val="24"/>
          <w:szCs w:val="24"/>
        </w:rPr>
        <w:t>份，具有同等法律效力。</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420"/>
        <w:rPr>
          <w:rFonts w:ascii="宋体" w:hAnsi="宋体" w:eastAsia="宋体" w:cs="宋体"/>
          <w:color w:val="FF0000"/>
          <w:kern w:val="0"/>
          <w:sz w:val="24"/>
          <w:szCs w:val="24"/>
        </w:rPr>
      </w:pPr>
      <w:r>
        <w:rPr>
          <w:rFonts w:hint="eastAsia" w:ascii="宋体" w:hAnsi="宋体" w:eastAsia="宋体" w:cs="宋体"/>
          <w:color w:val="FF0000"/>
          <w:kern w:val="0"/>
          <w:sz w:val="24"/>
          <w:szCs w:val="24"/>
        </w:rPr>
        <w:t>9、履约验收方案</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1）验收组织方式：</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自行验收   □委托第三方验收</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2）是否邀请本项目的其他供应商：是□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3）是否邀请专家：是</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 xml:space="preserve">  否□</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4）是否邀请服务对象：是</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 xml:space="preserve">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5）是否邀请第三方检测机构：是□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6）履约验收程序：</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一次性验收   □分段/分期验收</w:t>
      </w:r>
    </w:p>
    <w:p>
      <w:pPr>
        <w:ind w:firstLine="840" w:firstLineChars="300"/>
        <w:rPr>
          <w:sz w:val="28"/>
        </w:rPr>
      </w:pPr>
      <w:r>
        <w:rPr>
          <w:rFonts w:hint="eastAsia"/>
          <w:sz w:val="28"/>
        </w:rPr>
        <w:t>7）履约验收时间：</w:t>
      </w:r>
    </w:p>
    <w:p>
      <w:pPr>
        <w:ind w:firstLine="700" w:firstLineChars="250"/>
        <w:rPr>
          <w:sz w:val="28"/>
        </w:rPr>
      </w:pPr>
      <w:r>
        <w:rPr>
          <w:rFonts w:hint="eastAsia"/>
          <w:sz w:val="28"/>
        </w:rPr>
        <w:t>□计划于</w:t>
      </w:r>
      <w:r>
        <w:rPr>
          <w:sz w:val="28"/>
        </w:rPr>
        <w:t xml:space="preserve">      </w:t>
      </w:r>
      <w:r>
        <w:rPr>
          <w:rFonts w:hint="eastAsia"/>
          <w:sz w:val="28"/>
        </w:rPr>
        <w:t>组织验收</w:t>
      </w:r>
    </w:p>
    <w:p>
      <w:pPr>
        <w:ind w:firstLine="700" w:firstLineChars="250"/>
        <w:rPr>
          <w:sz w:val="28"/>
        </w:rPr>
      </w:pPr>
      <w:r>
        <w:rPr>
          <w:rFonts w:hint="eastAsia"/>
          <w:sz w:val="28"/>
        </w:rPr>
        <w:t>□供应商提出验收申请之日起</w:t>
      </w:r>
      <w:r>
        <w:rPr>
          <w:sz w:val="28"/>
        </w:rPr>
        <w:t xml:space="preserve">       </w:t>
      </w:r>
      <w:r>
        <w:rPr>
          <w:rFonts w:hint="eastAsia"/>
          <w:sz w:val="28"/>
        </w:rPr>
        <w:t>日内组织验收</w:t>
      </w:r>
    </w:p>
    <w:p>
      <w:pPr>
        <w:widowControl/>
        <w:numPr>
          <w:ilvl w:val="0"/>
          <w:numId w:val="14"/>
        </w:numPr>
        <w:shd w:val="clear" w:color="auto" w:fill="FFFFFF"/>
        <w:spacing w:line="480" w:lineRule="auto"/>
        <w:ind w:left="0" w:leftChars="0" w:firstLine="840" w:firstLineChars="0"/>
        <w:rPr>
          <w:rFonts w:hint="eastAsia" w:ascii="宋体" w:hAnsi="宋体" w:eastAsia="宋体" w:cs="宋体"/>
          <w:color w:val="0A82E5"/>
          <w:kern w:val="0"/>
          <w:sz w:val="24"/>
          <w:szCs w:val="24"/>
        </w:rPr>
      </w:pPr>
      <w:r>
        <w:rPr>
          <w:rFonts w:hint="eastAsia" w:ascii="宋体" w:hAnsi="宋体" w:eastAsia="宋体" w:cs="宋体"/>
          <w:color w:val="333333"/>
          <w:kern w:val="0"/>
          <w:sz w:val="24"/>
          <w:szCs w:val="24"/>
        </w:rPr>
        <w:t>验收组织的其他事项：</w:t>
      </w:r>
      <w:r>
        <w:rPr>
          <w:rFonts w:hint="eastAsia" w:ascii="宋体" w:hAnsi="宋体" w:eastAsia="宋体" w:cs="宋体"/>
          <w:color w:val="0A82E5"/>
          <w:kern w:val="0"/>
          <w:sz w:val="24"/>
          <w:szCs w:val="24"/>
        </w:rPr>
        <w:t xml:space="preserve"> </w:t>
      </w:r>
    </w:p>
    <w:p>
      <w:pPr>
        <w:pStyle w:val="2"/>
        <w:numPr>
          <w:ilvl w:val="0"/>
          <w:numId w:val="0"/>
        </w:numPr>
        <w:ind w:left="840" w:leftChars="0"/>
      </w:pPr>
    </w:p>
    <w:p>
      <w:pPr>
        <w:widowControl/>
        <w:shd w:val="clear" w:color="auto" w:fill="FFFFFF"/>
        <w:spacing w:line="480" w:lineRule="auto"/>
        <w:ind w:firstLine="840"/>
        <w:rPr>
          <w:rFonts w:ascii="宋体" w:hAnsi="宋体" w:eastAsia="宋体" w:cs="宋体"/>
          <w:color w:val="333333"/>
          <w:kern w:val="0"/>
          <w:sz w:val="24"/>
          <w:szCs w:val="24"/>
        </w:rPr>
      </w:pPr>
      <w:r>
        <w:rPr>
          <w:rFonts w:ascii="宋体" w:hAnsi="宋体" w:eastAsia="宋体" w:cs="宋体"/>
          <w:color w:val="333333"/>
          <w:kern w:val="0"/>
          <w:sz w:val="24"/>
          <w:szCs w:val="24"/>
        </w:rPr>
        <w:t>9</w:t>
      </w:r>
      <w:r>
        <w:rPr>
          <w:rFonts w:hint="eastAsia" w:ascii="宋体" w:hAnsi="宋体" w:eastAsia="宋体" w:cs="宋体"/>
          <w:color w:val="333333"/>
          <w:kern w:val="0"/>
          <w:sz w:val="24"/>
          <w:szCs w:val="24"/>
        </w:rPr>
        <w:t>）技术履约验收内容：</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0A82E5"/>
          <w:kern w:val="0"/>
          <w:sz w:val="24"/>
          <w:szCs w:val="24"/>
          <w:shd w:val="clear" w:color="auto" w:fill="FFFF00"/>
        </w:rPr>
      </w:pPr>
      <w:r>
        <w:rPr>
          <w:rFonts w:ascii="宋体" w:hAnsi="宋体" w:eastAsia="宋体" w:cs="宋体"/>
          <w:color w:val="333333"/>
          <w:kern w:val="0"/>
          <w:sz w:val="24"/>
          <w:szCs w:val="24"/>
        </w:rPr>
        <w:t>10</w:t>
      </w:r>
      <w:r>
        <w:rPr>
          <w:rFonts w:hint="eastAsia" w:ascii="宋体" w:hAnsi="宋体" w:eastAsia="宋体" w:cs="宋体"/>
          <w:color w:val="333333"/>
          <w:kern w:val="0"/>
          <w:sz w:val="24"/>
          <w:szCs w:val="24"/>
        </w:rPr>
        <w:t>）商务履约验收内容：</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0A82E5"/>
          <w:kern w:val="0"/>
          <w:sz w:val="24"/>
          <w:szCs w:val="24"/>
          <w:shd w:val="clear" w:color="auto" w:fill="FFFF00"/>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）履约验收标准：</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）履约验收其他事项：</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五、风险控制措施和替代方案</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该采购项目按照《政府采购需求管理办法》第二十五条规定，本项目是否需要组织风险判断、提出处置措施和替代方案：是□（填以下</w:t>
      </w:r>
      <w:r>
        <w:rPr>
          <w:rFonts w:ascii="宋体" w:hAnsi="宋体" w:eastAsia="宋体" w:cs="宋体"/>
          <w:color w:val="333333"/>
          <w:kern w:val="0"/>
          <w:sz w:val="24"/>
          <w:szCs w:val="24"/>
        </w:rPr>
        <w:t>信息</w:t>
      </w:r>
      <w:r>
        <w:rPr>
          <w:rFonts w:hint="eastAsia" w:ascii="宋体" w:hAnsi="宋体" w:eastAsia="宋体" w:cs="宋体"/>
          <w:color w:val="333333"/>
          <w:kern w:val="0"/>
          <w:sz w:val="24"/>
          <w:szCs w:val="24"/>
        </w:rPr>
        <w:t xml:space="preserve">）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1）国家政策变化风险的应对措施：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2）实施环境变化风险的应对措施：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3）重大技术变化风险的应对措施：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4）预算项目调整风险的应对措施：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5）因质疑投诉影响采购进度风险的应对措施：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6）采购失败风险的应对措施：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7）不按规定签订或者履行合同风险的应对措施：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8）出现损害国家利益和社会公共利益情形风险的应对措施：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9）其他采购和合同履行过程的风险及应对措施：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项目负责人（签字）：</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项目单位负责人（签字）：</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经费主管部门负责人（签字）：　　　　　　　　　　　</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6000" w:firstLineChars="250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年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 月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 日</w:t>
      </w:r>
    </w:p>
    <w:p/>
    <w:p>
      <w:pPr>
        <w:rPr>
          <w:sz w:val="28"/>
        </w:rPr>
      </w:pPr>
      <w:r>
        <w:rPr>
          <w:rFonts w:hint="eastAsia"/>
          <w:sz w:val="28"/>
        </w:rPr>
        <w:t>注意事项</w:t>
      </w:r>
      <w:r>
        <w:rPr>
          <w:sz w:val="28"/>
        </w:rPr>
        <w:t>：</w:t>
      </w:r>
    </w:p>
    <w:p>
      <w:pPr>
        <w:rPr>
          <w:sz w:val="28"/>
        </w:rPr>
      </w:pPr>
      <w:r>
        <w:rPr>
          <w:rFonts w:hint="eastAsia"/>
          <w:sz w:val="28"/>
        </w:rPr>
        <w:t>1.采购项目预算大于50万元（含50万元）需提供采购单位确定需求的部（处）会议纪要或学院党政联席会议纪要。</w:t>
      </w:r>
    </w:p>
    <w:p>
      <w:pPr>
        <w:rPr>
          <w:sz w:val="28"/>
        </w:rPr>
      </w:pPr>
      <w:r>
        <w:rPr>
          <w:rFonts w:hint="eastAsia"/>
          <w:sz w:val="28"/>
        </w:rPr>
        <w:t>2.各单位政府采购</w:t>
      </w:r>
      <w:r>
        <w:rPr>
          <w:sz w:val="28"/>
        </w:rPr>
        <w:t>项目</w:t>
      </w:r>
      <w:r>
        <w:rPr>
          <w:rFonts w:hint="eastAsia"/>
          <w:sz w:val="28"/>
        </w:rPr>
        <w:t>的采购</w:t>
      </w:r>
      <w:r>
        <w:rPr>
          <w:sz w:val="28"/>
        </w:rPr>
        <w:t>需求</w:t>
      </w:r>
      <w:r>
        <w:rPr>
          <w:rFonts w:hint="eastAsia"/>
          <w:sz w:val="28"/>
        </w:rPr>
        <w:t>在部门（学院）</w:t>
      </w:r>
      <w:r>
        <w:rPr>
          <w:sz w:val="28"/>
        </w:rPr>
        <w:t>网站</w:t>
      </w:r>
      <w:r>
        <w:rPr>
          <w:rFonts w:hint="eastAsia"/>
          <w:sz w:val="28"/>
        </w:rPr>
        <w:t>首页公示不少于3天。公示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r>
        <w:rPr>
          <w:sz w:val="28"/>
        </w:rPr>
        <w:t>交国有资产与实验室管理处（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雪梅" w:date="2023-08-11T09:51:00Z" w:initials="">
    <w:p w14:paraId="6F8FEBA0">
      <w:pPr>
        <w:pStyle w:val="10"/>
      </w:pPr>
      <w:r>
        <w:rPr>
          <w:rFonts w:hint="eastAsia"/>
        </w:rPr>
        <w:t>请补充</w:t>
      </w:r>
    </w:p>
  </w:comment>
  <w:comment w:id="1" w:author="刘雪梅" w:date="2023-08-11T09:50:00Z" w:initials="">
    <w:p w14:paraId="F7EFD35D">
      <w:pPr>
        <w:pStyle w:val="10"/>
      </w:pPr>
      <w:r>
        <w:rPr>
          <w:rFonts w:hint="eastAsia"/>
        </w:rPr>
        <w:t>请补充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8FEBA0" w15:done="0"/>
  <w15:commentEx w15:paraId="F7EFD3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Verdana">
    <w:panose1 w:val="020B0604030504040204"/>
    <w:charset w:val="00"/>
    <w:family w:val="swiss"/>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Arial Unicode MS">
    <w:panose1 w:val="020B0604020202020204"/>
    <w:charset w:val="86"/>
    <w:family w:val="auto"/>
    <w:pitch w:val="default"/>
    <w:sig w:usb0="00000000" w:usb1="00000000" w:usb2="00000000" w:usb3="00000000" w:csb0="003E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E910F"/>
    <w:multiLevelType w:val="singleLevel"/>
    <w:tmpl w:val="CBCE910F"/>
    <w:lvl w:ilvl="0" w:tentative="0">
      <w:start w:val="7"/>
      <w:numFmt w:val="decimal"/>
      <w:suff w:val="nothing"/>
      <w:lvlText w:val="%1）"/>
      <w:lvlJc w:val="left"/>
      <w:rPr>
        <w:rFonts w:hint="default"/>
        <w:color w:val="auto"/>
      </w:rPr>
    </w:lvl>
  </w:abstractNum>
  <w:abstractNum w:abstractNumId="1">
    <w:nsid w:val="F2FF21D5"/>
    <w:multiLevelType w:val="singleLevel"/>
    <w:tmpl w:val="F2FF21D5"/>
    <w:lvl w:ilvl="0" w:tentative="0">
      <w:start w:val="11"/>
      <w:numFmt w:val="decimal"/>
      <w:suff w:val="nothing"/>
      <w:lvlText w:val="%1）"/>
      <w:lvlJc w:val="left"/>
    </w:lvl>
  </w:abstractNum>
  <w:abstractNum w:abstractNumId="2">
    <w:nsid w:val="02273BC3"/>
    <w:multiLevelType w:val="multilevel"/>
    <w:tmpl w:val="02273B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A54488"/>
    <w:multiLevelType w:val="multilevel"/>
    <w:tmpl w:val="08A5448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4E0F22"/>
    <w:multiLevelType w:val="multilevel"/>
    <w:tmpl w:val="0A4E0F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6928B1"/>
    <w:multiLevelType w:val="multilevel"/>
    <w:tmpl w:val="2E6928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FA79C9"/>
    <w:multiLevelType w:val="multilevel"/>
    <w:tmpl w:val="31FA79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582738"/>
    <w:multiLevelType w:val="multilevel"/>
    <w:tmpl w:val="355827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C141705"/>
    <w:multiLevelType w:val="multilevel"/>
    <w:tmpl w:val="3C1417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7361F73"/>
    <w:multiLevelType w:val="multilevel"/>
    <w:tmpl w:val="47361F73"/>
    <w:lvl w:ilvl="0" w:tentative="0">
      <w:start w:val="1"/>
      <w:numFmt w:val="decimal"/>
      <w:lvlText w:val="%1."/>
      <w:lvlJc w:val="left"/>
      <w:pPr>
        <w:ind w:left="420" w:hanging="420"/>
      </w:pPr>
    </w:lvl>
    <w:lvl w:ilvl="1" w:tentative="0">
      <w:start w:val="1"/>
      <w:numFmt w:val="decimal"/>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3244B0E"/>
    <w:multiLevelType w:val="multilevel"/>
    <w:tmpl w:val="53244B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C225FC"/>
    <w:multiLevelType w:val="multilevel"/>
    <w:tmpl w:val="59C225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E3A37E"/>
    <w:multiLevelType w:val="singleLevel"/>
    <w:tmpl w:val="73E3A37E"/>
    <w:lvl w:ilvl="0" w:tentative="0">
      <w:start w:val="1"/>
      <w:numFmt w:val="decimal"/>
      <w:suff w:val="nothing"/>
      <w:lvlText w:val="%1、"/>
      <w:lvlJc w:val="left"/>
    </w:lvl>
  </w:abstractNum>
  <w:abstractNum w:abstractNumId="13">
    <w:nsid w:val="7B745311"/>
    <w:multiLevelType w:val="multilevel"/>
    <w:tmpl w:val="7B745311"/>
    <w:lvl w:ilvl="0" w:tentative="0">
      <w:start w:val="1"/>
      <w:numFmt w:val="decimal"/>
      <w:lvlText w:val="%1."/>
      <w:lvlJc w:val="left"/>
      <w:pPr>
        <w:ind w:left="420" w:hanging="420"/>
      </w:pPr>
    </w:lvl>
    <w:lvl w:ilvl="1" w:tentative="0">
      <w:start w:val="1"/>
      <w:numFmt w:val="bullet"/>
      <w:lvlText w:val="★"/>
      <w:lvlJc w:val="left"/>
      <w:pPr>
        <w:ind w:left="780" w:hanging="360"/>
      </w:pPr>
      <w:rPr>
        <w:rFonts w:hint="eastAsia" w:ascii="宋体" w:hAnsi="宋体" w:eastAsia="宋体"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C982E18"/>
    <w:multiLevelType w:val="multilevel"/>
    <w:tmpl w:val="7C982E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4"/>
  </w:num>
  <w:num w:numId="5">
    <w:abstractNumId w:val="13"/>
  </w:num>
  <w:num w:numId="6">
    <w:abstractNumId w:val="6"/>
  </w:num>
  <w:num w:numId="7">
    <w:abstractNumId w:val="9"/>
  </w:num>
  <w:num w:numId="8">
    <w:abstractNumId w:val="5"/>
  </w:num>
  <w:num w:numId="9">
    <w:abstractNumId w:val="8"/>
  </w:num>
  <w:num w:numId="10">
    <w:abstractNumId w:val="10"/>
  </w:num>
  <w:num w:numId="11">
    <w:abstractNumId w:val="7"/>
  </w:num>
  <w:num w:numId="12">
    <w:abstractNumId w:val="12"/>
  </w:num>
  <w:num w:numId="13">
    <w:abstractNumId w:val="11"/>
  </w:num>
  <w:num w:numId="14">
    <w:abstractNumId w:val="0"/>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雪梅">
    <w15:presenceInfo w15:providerId="None" w15:userId="刘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DB9F6E"/>
    <w:rsid w:val="6EDFF7F2"/>
    <w:rsid w:val="6FBF15F4"/>
    <w:rsid w:val="77D3F78B"/>
    <w:rsid w:val="EFDEE092"/>
    <w:rsid w:val="EFE76689"/>
    <w:rsid w:val="F9EFC2A1"/>
    <w:rsid w:val="FF7B4D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2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7">
    <w:name w:val="heading 5"/>
    <w:basedOn w:val="1"/>
    <w:next w:val="1"/>
    <w:link w:val="24"/>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8">
    <w:name w:val="Default Paragraph Font"/>
    <w:unhideWhenUsed/>
    <w:uiPriority w:val="1"/>
  </w:style>
  <w:style w:type="table" w:default="1" w:styleId="16">
    <w:name w:val="Normal Table"/>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29"/>
    <w:pPr>
      <w:spacing w:after="120"/>
    </w:pPr>
  </w:style>
  <w:style w:type="paragraph" w:styleId="3">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8">
    <w:name w:val="Normal Indent"/>
    <w:basedOn w:val="1"/>
    <w:unhideWhenUsed/>
    <w:qFormat/>
    <w:uiPriority w:val="0"/>
    <w:pPr>
      <w:ind w:firstLine="420" w:firstLineChars="200"/>
    </w:pPr>
    <w:rPr>
      <w:rFonts w:ascii="仿宋_GB2312" w:eastAsia="仿宋_GB2312"/>
      <w:sz w:val="30"/>
      <w:szCs w:val="30"/>
    </w:rPr>
  </w:style>
  <w:style w:type="paragraph" w:styleId="9">
    <w:name w:val="toa heading"/>
    <w:basedOn w:val="1"/>
    <w:next w:val="1"/>
    <w:qFormat/>
    <w:uiPriority w:val="0"/>
    <w:pPr>
      <w:spacing w:before="100" w:beforeAutospacing="1" w:line="400" w:lineRule="exact"/>
    </w:pPr>
    <w:rPr>
      <w:rFonts w:ascii="Arial" w:hAnsi="Arial" w:eastAsia="黑体"/>
      <w:b/>
      <w:bCs/>
      <w:color w:val="0099FF"/>
      <w:szCs w:val="20"/>
    </w:rPr>
  </w:style>
  <w:style w:type="paragraph" w:styleId="10">
    <w:name w:val="annotation text"/>
    <w:basedOn w:val="1"/>
    <w:link w:val="64"/>
    <w:unhideWhenUsed/>
    <w:qFormat/>
    <w:uiPriority w:val="99"/>
    <w:pPr>
      <w:jc w:val="left"/>
    </w:pPr>
  </w:style>
  <w:style w:type="paragraph" w:styleId="11">
    <w:name w:val="Balloon Text"/>
    <w:basedOn w:val="1"/>
    <w:link w:val="63"/>
    <w:unhideWhenUsed/>
    <w:qFormat/>
    <w:uiPriority w:val="99"/>
    <w:rPr>
      <w:sz w:val="18"/>
      <w:szCs w:val="18"/>
    </w:rPr>
  </w:style>
  <w:style w:type="paragraph" w:styleId="12">
    <w:name w:val="footer"/>
    <w:basedOn w:val="1"/>
    <w:link w:val="21"/>
    <w:unhideWhenUsed/>
    <w:qFormat/>
    <w:uiPriority w:val="99"/>
    <w:pPr>
      <w:tabs>
        <w:tab w:val="center" w:pos="4153"/>
        <w:tab w:val="right" w:pos="8306"/>
      </w:tabs>
      <w:snapToGrid w:val="0"/>
      <w:jc w:val="left"/>
    </w:pPr>
    <w:rPr>
      <w:sz w:val="18"/>
      <w:szCs w:val="18"/>
    </w:rPr>
  </w:style>
  <w:style w:type="paragraph" w:styleId="1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10"/>
    <w:next w:val="10"/>
    <w:link w:val="65"/>
    <w:unhideWhenUsed/>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unhideWhenUsed/>
    <w:uiPriority w:val="99"/>
    <w:rPr>
      <w:sz w:val="21"/>
      <w:szCs w:val="21"/>
    </w:rPr>
  </w:style>
  <w:style w:type="character" w:customStyle="1" w:styleId="20">
    <w:name w:val="页眉 Char"/>
    <w:basedOn w:val="18"/>
    <w:link w:val="13"/>
    <w:qFormat/>
    <w:uiPriority w:val="99"/>
    <w:rPr>
      <w:sz w:val="18"/>
      <w:szCs w:val="18"/>
    </w:rPr>
  </w:style>
  <w:style w:type="character" w:customStyle="1" w:styleId="21">
    <w:name w:val="页脚 Char"/>
    <w:basedOn w:val="18"/>
    <w:link w:val="12"/>
    <w:uiPriority w:val="99"/>
    <w:rPr>
      <w:sz w:val="18"/>
      <w:szCs w:val="18"/>
    </w:rPr>
  </w:style>
  <w:style w:type="character" w:customStyle="1" w:styleId="22">
    <w:name w:val="标题 1 Char"/>
    <w:basedOn w:val="18"/>
    <w:link w:val="4"/>
    <w:uiPriority w:val="9"/>
    <w:rPr>
      <w:rFonts w:ascii="宋体" w:hAnsi="宋体" w:eastAsia="宋体" w:cs="宋体"/>
      <w:b/>
      <w:bCs/>
      <w:kern w:val="36"/>
      <w:sz w:val="48"/>
      <w:szCs w:val="48"/>
    </w:rPr>
  </w:style>
  <w:style w:type="character" w:customStyle="1" w:styleId="23">
    <w:name w:val="标题 3 Char"/>
    <w:basedOn w:val="18"/>
    <w:link w:val="6"/>
    <w:qFormat/>
    <w:uiPriority w:val="9"/>
    <w:rPr>
      <w:rFonts w:ascii="宋体" w:hAnsi="宋体" w:eastAsia="宋体" w:cs="宋体"/>
      <w:b/>
      <w:bCs/>
      <w:kern w:val="0"/>
      <w:sz w:val="27"/>
      <w:szCs w:val="27"/>
    </w:rPr>
  </w:style>
  <w:style w:type="character" w:customStyle="1" w:styleId="24">
    <w:name w:val="标题 5 Char"/>
    <w:basedOn w:val="18"/>
    <w:link w:val="7"/>
    <w:qFormat/>
    <w:uiPriority w:val="9"/>
    <w:rPr>
      <w:rFonts w:ascii="宋体" w:hAnsi="宋体" w:eastAsia="宋体" w:cs="宋体"/>
      <w:b/>
      <w:bCs/>
      <w:kern w:val="0"/>
      <w:sz w:val="20"/>
      <w:szCs w:val="20"/>
    </w:rPr>
  </w:style>
  <w:style w:type="character" w:customStyle="1" w:styleId="25">
    <w:name w:val="population-ceilingprice"/>
    <w:basedOn w:val="18"/>
    <w:qFormat/>
    <w:uiPriority w:val="0"/>
  </w:style>
  <w:style w:type="character" w:customStyle="1" w:styleId="26">
    <w:name w:val="population-projectoverview"/>
    <w:basedOn w:val="18"/>
    <w:qFormat/>
    <w:uiPriority w:val="0"/>
  </w:style>
  <w:style w:type="character" w:customStyle="1" w:styleId="27">
    <w:name w:val="population-hassupplier"/>
    <w:basedOn w:val="18"/>
    <w:qFormat/>
    <w:uiPriority w:val="0"/>
  </w:style>
  <w:style w:type="character" w:customStyle="1" w:styleId="28">
    <w:name w:val="investigation-researchstatus"/>
    <w:basedOn w:val="18"/>
    <w:qFormat/>
    <w:uiPriority w:val="0"/>
  </w:style>
  <w:style w:type="character" w:customStyle="1" w:styleId="29">
    <w:name w:val="implementation-kind"/>
    <w:basedOn w:val="18"/>
    <w:qFormat/>
    <w:uiPriority w:val="0"/>
  </w:style>
  <w:style w:type="character" w:customStyle="1" w:styleId="30">
    <w:name w:val="implementation-purmethod"/>
    <w:basedOn w:val="18"/>
    <w:qFormat/>
    <w:uiPriority w:val="0"/>
  </w:style>
  <w:style w:type="character" w:customStyle="1" w:styleId="31">
    <w:name w:val="implementation-subcontracttotal"/>
    <w:basedOn w:val="18"/>
    <w:qFormat/>
    <w:uiPriority w:val="0"/>
  </w:style>
  <w:style w:type="character" w:customStyle="1" w:styleId="32">
    <w:name w:val="implementation-reservestatus"/>
    <w:basedOn w:val="18"/>
    <w:qFormat/>
    <w:uiPriority w:val="0"/>
  </w:style>
  <w:style w:type="character" w:customStyle="1" w:styleId="33">
    <w:name w:val="implementation-govservice"/>
    <w:basedOn w:val="18"/>
    <w:qFormat/>
    <w:uiPriority w:val="0"/>
  </w:style>
  <w:style w:type="character" w:customStyle="1" w:styleId="34">
    <w:name w:val="implementation-govinfomationstatus"/>
    <w:basedOn w:val="18"/>
    <w:qFormat/>
    <w:uiPriority w:val="0"/>
  </w:style>
  <w:style w:type="character" w:customStyle="1" w:styleId="35">
    <w:name w:val="implementation-sciencestatus"/>
    <w:basedOn w:val="18"/>
    <w:qFormat/>
    <w:uiPriority w:val="0"/>
  </w:style>
  <w:style w:type="character" w:customStyle="1" w:styleId="36">
    <w:name w:val="implementation-pppstatus"/>
    <w:basedOn w:val="18"/>
    <w:qFormat/>
    <w:uiPriority w:val="0"/>
  </w:style>
  <w:style w:type="character" w:customStyle="1" w:styleId="37">
    <w:name w:val="subcontract-legalcontracttype"/>
    <w:basedOn w:val="18"/>
    <w:qFormat/>
    <w:uiPriority w:val="0"/>
  </w:style>
  <w:style w:type="character" w:customStyle="1" w:styleId="38">
    <w:name w:val="subcontract-performperiod"/>
    <w:basedOn w:val="18"/>
    <w:qFormat/>
    <w:uiPriority w:val="0"/>
  </w:style>
  <w:style w:type="character" w:customStyle="1" w:styleId="39">
    <w:name w:val="subcontract-performaddress"/>
    <w:basedOn w:val="18"/>
    <w:qFormat/>
    <w:uiPriority w:val="0"/>
  </w:style>
  <w:style w:type="character" w:customStyle="1" w:styleId="40">
    <w:name w:val="subcontract-contractpaytype"/>
    <w:basedOn w:val="18"/>
    <w:qFormat/>
    <w:uiPriority w:val="0"/>
  </w:style>
  <w:style w:type="character" w:customStyle="1" w:styleId="41">
    <w:name w:val="subcontract-deliverystandard"/>
    <w:basedOn w:val="18"/>
    <w:qFormat/>
    <w:uiPriority w:val="0"/>
  </w:style>
  <w:style w:type="character" w:customStyle="1" w:styleId="42">
    <w:name w:val="subcontract-maintenance"/>
    <w:basedOn w:val="18"/>
    <w:qFormat/>
    <w:uiPriority w:val="0"/>
  </w:style>
  <w:style w:type="character" w:customStyle="1" w:styleId="43">
    <w:name w:val="subcontract-intellectualproperty"/>
    <w:basedOn w:val="18"/>
    <w:qFormat/>
    <w:uiPriority w:val="0"/>
  </w:style>
  <w:style w:type="character" w:customStyle="1" w:styleId="44">
    <w:name w:val="subcontract-risksharing"/>
    <w:basedOn w:val="18"/>
    <w:qFormat/>
    <w:uiPriority w:val="0"/>
  </w:style>
  <w:style w:type="character" w:customStyle="1" w:styleId="45">
    <w:name w:val="subcontract-disputeresolution"/>
    <w:basedOn w:val="18"/>
    <w:qFormat/>
    <w:uiPriority w:val="0"/>
  </w:style>
  <w:style w:type="character" w:customStyle="1" w:styleId="46">
    <w:name w:val="subcontract-otherterms"/>
    <w:basedOn w:val="18"/>
    <w:qFormat/>
    <w:uiPriority w:val="0"/>
  </w:style>
  <w:style w:type="character" w:customStyle="1" w:styleId="47">
    <w:name w:val="subcontract-acceptancetype"/>
    <w:basedOn w:val="18"/>
    <w:qFormat/>
    <w:uiPriority w:val="0"/>
  </w:style>
  <w:style w:type="character" w:customStyle="1" w:styleId="48">
    <w:name w:val="subcontract-invitesupplierstatus"/>
    <w:basedOn w:val="18"/>
    <w:qFormat/>
    <w:uiPriority w:val="0"/>
  </w:style>
  <w:style w:type="character" w:customStyle="1" w:styleId="49">
    <w:name w:val="subcontract-inviteexpertstatus"/>
    <w:basedOn w:val="18"/>
    <w:qFormat/>
    <w:uiPriority w:val="0"/>
  </w:style>
  <w:style w:type="character" w:customStyle="1" w:styleId="50">
    <w:name w:val="subcontract-inviteserviceobjectstatus"/>
    <w:basedOn w:val="18"/>
    <w:qFormat/>
    <w:uiPriority w:val="0"/>
  </w:style>
  <w:style w:type="character" w:customStyle="1" w:styleId="51">
    <w:name w:val="subcontract-professionaldetectionstatus"/>
    <w:basedOn w:val="18"/>
    <w:qFormat/>
    <w:uiPriority w:val="0"/>
  </w:style>
  <w:style w:type="character" w:customStyle="1" w:styleId="52">
    <w:name w:val="subcontract-acceptanceprocesstype"/>
    <w:basedOn w:val="18"/>
    <w:qFormat/>
    <w:uiPriority w:val="0"/>
  </w:style>
  <w:style w:type="character" w:customStyle="1" w:styleId="53">
    <w:name w:val="subcontract-acceptancemethod"/>
    <w:basedOn w:val="18"/>
    <w:qFormat/>
    <w:uiPriority w:val="0"/>
  </w:style>
  <w:style w:type="character" w:customStyle="1" w:styleId="54">
    <w:name w:val="subcontract-otherpreparations"/>
    <w:basedOn w:val="18"/>
    <w:qFormat/>
    <w:uiPriority w:val="0"/>
  </w:style>
  <w:style w:type="character" w:customStyle="1" w:styleId="55">
    <w:name w:val="subcontract-goodscontent"/>
    <w:basedOn w:val="18"/>
    <w:qFormat/>
    <w:uiPriority w:val="0"/>
  </w:style>
  <w:style w:type="character" w:customStyle="1" w:styleId="56">
    <w:name w:val="subcontract-businesscontent"/>
    <w:basedOn w:val="18"/>
    <w:qFormat/>
    <w:uiPriority w:val="0"/>
  </w:style>
  <w:style w:type="character" w:customStyle="1" w:styleId="57">
    <w:name w:val="subcontract-acceptancecriteria"/>
    <w:basedOn w:val="18"/>
    <w:qFormat/>
    <w:uiPriority w:val="0"/>
  </w:style>
  <w:style w:type="character" w:customStyle="1" w:styleId="58">
    <w:name w:val="subcontract-othercontent"/>
    <w:basedOn w:val="18"/>
    <w:qFormat/>
    <w:uiPriority w:val="0"/>
  </w:style>
  <w:style w:type="character" w:customStyle="1" w:styleId="59">
    <w:name w:val="risk-riskresponse"/>
    <w:basedOn w:val="18"/>
    <w:qFormat/>
    <w:uiPriority w:val="0"/>
  </w:style>
  <w:style w:type="paragraph" w:customStyle="1" w:styleId="60">
    <w:name w:val="List Paragraph"/>
    <w:basedOn w:val="1"/>
    <w:qFormat/>
    <w:uiPriority w:val="34"/>
    <w:pPr>
      <w:ind w:firstLine="420" w:firstLineChars="200"/>
    </w:pPr>
  </w:style>
  <w:style w:type="paragraph" w:customStyle="1" w:styleId="61">
    <w:name w:val="正文内容"/>
    <w:basedOn w:val="1"/>
    <w:qFormat/>
    <w:uiPriority w:val="5"/>
    <w:pPr>
      <w:adjustRightInd w:val="0"/>
      <w:spacing w:line="360" w:lineRule="auto"/>
      <w:ind w:firstLine="200" w:firstLineChars="200"/>
    </w:pPr>
    <w:rPr>
      <w:rFonts w:ascii="Times New Roman" w:hAnsi="Times New Roman"/>
      <w:sz w:val="24"/>
      <w:szCs w:val="24"/>
    </w:rPr>
  </w:style>
  <w:style w:type="paragraph" w:customStyle="1" w:styleId="62">
    <w:name w:val="DAS正文"/>
    <w:basedOn w:val="1"/>
    <w:qFormat/>
    <w:uiPriority w:val="0"/>
    <w:pPr>
      <w:ind w:right="181"/>
    </w:pPr>
    <w:rPr>
      <w:rFonts w:ascii="Verdana" w:hAnsi="Verdana"/>
    </w:rPr>
  </w:style>
  <w:style w:type="character" w:customStyle="1" w:styleId="63">
    <w:name w:val="批注框文本 Char"/>
    <w:basedOn w:val="18"/>
    <w:link w:val="11"/>
    <w:semiHidden/>
    <w:qFormat/>
    <w:uiPriority w:val="99"/>
    <w:rPr>
      <w:rFonts w:asciiTheme="minorHAnsi" w:hAnsiTheme="minorHAnsi" w:eastAsiaTheme="minorEastAsia" w:cstheme="minorBidi"/>
      <w:kern w:val="2"/>
      <w:sz w:val="18"/>
      <w:szCs w:val="18"/>
    </w:rPr>
  </w:style>
  <w:style w:type="character" w:customStyle="1" w:styleId="64">
    <w:name w:val="批注文字 Char"/>
    <w:basedOn w:val="18"/>
    <w:link w:val="10"/>
    <w:semiHidden/>
    <w:qFormat/>
    <w:uiPriority w:val="99"/>
    <w:rPr>
      <w:rFonts w:asciiTheme="minorHAnsi" w:hAnsiTheme="minorHAnsi" w:eastAsiaTheme="minorEastAsia" w:cstheme="minorBidi"/>
      <w:kern w:val="2"/>
      <w:sz w:val="21"/>
      <w:szCs w:val="22"/>
    </w:rPr>
  </w:style>
  <w:style w:type="character" w:customStyle="1" w:styleId="65">
    <w:name w:val="批注主题 Char"/>
    <w:basedOn w:val="64"/>
    <w:link w:val="15"/>
    <w:semiHidden/>
    <w:qFormat/>
    <w:uiPriority w:val="99"/>
    <w:rPr>
      <w:rFonts w:asciiTheme="minorHAnsi" w:hAnsiTheme="minorHAnsi" w:eastAsiaTheme="minorEastAsia" w:cstheme="minorBidi"/>
      <w:b/>
      <w:bCs/>
      <w:kern w:val="2"/>
      <w:sz w:val="21"/>
      <w:szCs w:val="22"/>
    </w:rPr>
  </w:style>
  <w:style w:type="paragraph" w:customStyle="1" w:styleId="66">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1666</Words>
  <Characters>9499</Characters>
  <Lines>79</Lines>
  <Paragraphs>22</Paragraphs>
  <TotalTime>0</TotalTime>
  <ScaleCrop>false</ScaleCrop>
  <LinksUpToDate>false</LinksUpToDate>
  <CharactersWithSpaces>11143</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2023-08-12T09:51:00Z</dcterms:created>
  <dc:creator>张灵峻</dc:creator>
  <cp:lastModifiedBy>x</cp:lastModifiedBy>
  <dcterms:modified xsi:type="dcterms:W3CDTF">2023-08-14T10:54:17Z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C3727B512953420EB87ACB57F496A6B4_13</vt:lpwstr>
  </property>
</Properties>
</file>