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FF7EB">
      <w:pPr>
        <w:pStyle w:val="2"/>
      </w:pPr>
      <w:r>
        <w:rPr>
          <w:rFonts w:hint="eastAsia"/>
        </w:rPr>
        <w:t>1、投标人一般资格要求</w:t>
      </w:r>
    </w:p>
    <w:tbl>
      <w:tblPr>
        <w:tblStyle w:val="1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7"/>
        <w:gridCol w:w="2299"/>
        <w:gridCol w:w="5604"/>
      </w:tblGrid>
      <w:tr w14:paraId="183AD4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7" w:hRule="atLeast"/>
          <w:tblHeader/>
        </w:trPr>
        <w:tc>
          <w:tcPr>
            <w:tcW w:w="387" w:type="dxa"/>
            <w:tcBorders>
              <w:top w:val="outset" w:color="auto" w:sz="6" w:space="0"/>
              <w:left w:val="outset" w:color="auto" w:sz="6" w:space="0"/>
              <w:bottom w:val="outset" w:color="auto" w:sz="6" w:space="0"/>
              <w:right w:val="outset" w:color="auto" w:sz="6" w:space="0"/>
            </w:tcBorders>
            <w:shd w:val="clear" w:color="auto" w:fill="FFFFFF"/>
            <w:vAlign w:val="center"/>
          </w:tcPr>
          <w:p w14:paraId="07B2B6F9">
            <w:r>
              <w:rPr>
                <w:rFonts w:hint="eastAsia"/>
              </w:rPr>
              <w:t>序号</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37B008F1">
            <w:r>
              <w:rPr>
                <w:rFonts w:hint="eastAsia"/>
              </w:rPr>
              <w:t>资格要求名称</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3D744EAD">
            <w:r>
              <w:rPr>
                <w:rFonts w:hint="eastAsia"/>
              </w:rPr>
              <w:t>资格要求详细说明</w:t>
            </w:r>
          </w:p>
        </w:tc>
      </w:tr>
      <w:tr w14:paraId="61026D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FED5C3">
            <w:r>
              <w:rPr>
                <w:rFonts w:hint="eastAsia"/>
              </w:rPr>
              <w:t>1</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489CA804">
            <w:r>
              <w:rPr>
                <w:rFonts w:hint="eastAsia"/>
              </w:rPr>
              <w:t>投标人应具有独立承担民事责任的能力</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40733930">
            <w:r>
              <w:rPr>
                <w:rFonts w:hint="eastAsia"/>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6925D3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9D0AED">
            <w:r>
              <w:rPr>
                <w:rFonts w:hint="eastAsia"/>
              </w:rPr>
              <w:t>2</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0BEEB27D">
            <w:r>
              <w:rPr>
                <w:rFonts w:hint="eastAsia"/>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28308299">
            <w: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w:t>
            </w:r>
            <w:r>
              <w:rPr>
                <w:rFonts w:hint="eastAsia"/>
              </w:rPr>
              <w:t>化交易系统中按要求填写《投标函》完成承诺并进行电子签章。】</w:t>
            </w:r>
          </w:p>
        </w:tc>
      </w:tr>
      <w:tr w14:paraId="6E7677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13A63F">
            <w:r>
              <w:rPr>
                <w:rFonts w:hint="eastAsia"/>
              </w:rPr>
              <w:t>3</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4E417C73">
            <w:r>
              <w:rPr>
                <w:rFonts w:hint="eastAsia"/>
              </w:rPr>
              <w:t>未被列入失信被执行人、重大税收违法案件当事人名单、政府采购严重违法失信行为记录名单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05FFBE4">
            <w: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r>
              <w:rPr>
                <w:rFonts w:hint="eastAsia"/>
              </w:rPr>
              <w:t>。】</w:t>
            </w:r>
          </w:p>
        </w:tc>
      </w:tr>
      <w:tr w14:paraId="553879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DC3B4E">
            <w:r>
              <w:rPr>
                <w:rFonts w:hint="eastAsia"/>
              </w:rPr>
              <w:t>4</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4B424B5B">
            <w:r>
              <w:rPr>
                <w:rFonts w:hint="eastAsia"/>
              </w:rPr>
              <w:t>未处于被行政部门禁止参与政府采购活动的期限内</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42D00EA4">
            <w:r>
              <w:rPr>
                <w:rFonts w:hint="eastAsia"/>
              </w:rPr>
              <w:t>投标人未处于被行政部门禁止参与政府采购活动的期限内。</w:t>
            </w:r>
            <w:r>
              <w:t xml:space="preserve"> 【说明：①投标人按招标文件要求提供书面声明材料；②投标人未处于被行政部门禁止参与政府采购活动的期限内。】</w:t>
            </w:r>
          </w:p>
        </w:tc>
      </w:tr>
      <w:tr w14:paraId="0834F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BD4CF3">
            <w:r>
              <w:rPr>
                <w:rFonts w:hint="eastAsia"/>
              </w:rPr>
              <w:t>5</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6B2E7AC1">
            <w:r>
              <w:rPr>
                <w:rFonts w:hint="eastAsia"/>
              </w:rPr>
              <w:t>行贿犯罪记录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3A8BDB3B">
            <w:r>
              <w:rPr>
                <w:rFonts w:hint="eastAsia"/>
              </w:rPr>
              <w:t>在行贿犯罪信息查询期限内，投标人及其现任法定代表人、主要负责人没有行贿犯罪记录的书面声明材料。</w:t>
            </w:r>
            <w:r>
              <w:t xml:space="preserve">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0AD28D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2A95A3">
            <w:r>
              <w:rPr>
                <w:rFonts w:hint="eastAsia"/>
              </w:rPr>
              <w:t>6</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23640AD5">
            <w:r>
              <w:rPr>
                <w:rFonts w:hint="eastAsia"/>
              </w:rPr>
              <w:t>单位负责人为同一人或者存在直接控股、管理关系的不同供应商，不得参加同一项目的投标</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E8728FC">
            <w:r>
              <w:rPr>
                <w:rFonts w:hint="eastAsia"/>
              </w:rPr>
              <w:t>负责人为同一人或者存在直接控股、管理关系的不同投标人未同时参加本项目书面声明材料。</w:t>
            </w:r>
            <w:r>
              <w:t xml:space="preserve">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4D0F5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384D1F">
            <w:r>
              <w:rPr>
                <w:rFonts w:hint="eastAsia"/>
              </w:rPr>
              <w:t>7</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55450268">
            <w:r>
              <w:rPr>
                <w:rFonts w:hint="eastAsia"/>
              </w:rPr>
              <w:t>投标文件签章</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40AC8E9E">
            <w:r>
              <w:rPr>
                <w:rFonts w:hint="eastAsia"/>
              </w:rPr>
              <w:t>投标文件加盖有投标人（法定名称）电子签章。【说明：无须提供证明材料，上传空白页即可，不对本项上传的材料作资格审查】</w:t>
            </w:r>
          </w:p>
        </w:tc>
      </w:tr>
      <w:tr w14:paraId="36B7EE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607957">
            <w:r>
              <w:rPr>
                <w:rFonts w:hint="eastAsia"/>
              </w:rPr>
              <w:t>8</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0B569863">
            <w:r>
              <w:rPr>
                <w:rFonts w:hint="eastAsia"/>
              </w:rPr>
              <w:t>投标文件资格响应文件的语言</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3CBC1BEE">
            <w:r>
              <w:rPr>
                <w:rFonts w:hint="eastAsia"/>
              </w:rPr>
              <w:t>语言符合招标文件的要求。</w:t>
            </w:r>
            <w:r>
              <w:t xml:space="preserve"> 【说明：投标人无须提供证明材料，上传空白页即可，不对本项上传的材料作资格审查】</w:t>
            </w:r>
          </w:p>
        </w:tc>
      </w:tr>
      <w:tr w14:paraId="487F66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B71E3E">
            <w:r>
              <w:rPr>
                <w:rFonts w:hint="eastAsia"/>
              </w:rPr>
              <w:t>9</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7D7CB710">
            <w:r>
              <w:rPr>
                <w:rFonts w:hint="eastAsia"/>
              </w:rPr>
              <w:t>法律、行政法规规定的其他条件</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4EC95D2C">
            <w:r>
              <w:rPr>
                <w:rFonts w:hint="eastAsia"/>
              </w:rPr>
              <w:t>采购人对法律、行政法规规定的其他条件无其他特殊要求，投标人可不提供证明材料。</w:t>
            </w:r>
            <w:r>
              <w:t xml:space="preserve"> 【说明：投标人无须提供证明材料，上传空白页即可，不对本项上传的材料作资格审查】</w:t>
            </w:r>
          </w:p>
        </w:tc>
      </w:tr>
      <w:tr w14:paraId="1C74E5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BB2FED">
            <w:r>
              <w:rPr>
                <w:rFonts w:hint="eastAsia"/>
              </w:rPr>
              <w:t>10</w:t>
            </w:r>
          </w:p>
        </w:tc>
        <w:tc>
          <w:tcPr>
            <w:tcW w:w="2299" w:type="dxa"/>
            <w:tcBorders>
              <w:top w:val="outset" w:color="auto" w:sz="6" w:space="0"/>
              <w:left w:val="outset" w:color="auto" w:sz="6" w:space="0"/>
              <w:bottom w:val="outset" w:color="auto" w:sz="6" w:space="0"/>
              <w:right w:val="outset" w:color="auto" w:sz="6" w:space="0"/>
            </w:tcBorders>
            <w:shd w:val="clear" w:color="auto" w:fill="FFFFFF"/>
            <w:vAlign w:val="center"/>
          </w:tcPr>
          <w:p w14:paraId="30D1DC6E">
            <w:r>
              <w:rPr>
                <w:rFonts w:hint="eastAsia"/>
              </w:rPr>
              <w:t>不属于国家相关法律法规规定的其他禁止参加投标的情形</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71EF609D">
            <w: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2A4D8500">
      <w:r>
        <w:rPr>
          <w:rFonts w:hint="eastAsia"/>
        </w:rPr>
        <w:t>2、供应商特殊资格要求</w:t>
      </w:r>
    </w:p>
    <w:p w14:paraId="42865847">
      <w:r>
        <w:rPr>
          <w:rFonts w:hint="eastAsia"/>
        </w:rPr>
        <w:t>无</w:t>
      </w:r>
    </w:p>
    <w:p w14:paraId="210C8BFD">
      <w:pPr>
        <w:pStyle w:val="2"/>
      </w:pPr>
      <w:r>
        <w:rPr>
          <w:rFonts w:hint="eastAsia"/>
        </w:rPr>
        <w:t>2、投标人特殊资格要求（如有）</w:t>
      </w:r>
    </w:p>
    <w:p w14:paraId="140A5CDD">
      <w:r>
        <w:rPr>
          <w:rFonts w:hint="eastAsia"/>
        </w:rPr>
        <w:t>无</w:t>
      </w:r>
    </w:p>
    <w:p w14:paraId="0A857C9D">
      <w:pPr>
        <w:pStyle w:val="2"/>
        <w:numPr>
          <w:ilvl w:val="0"/>
          <w:numId w:val="1"/>
        </w:numPr>
        <w:rPr>
          <w:rFonts w:hint="eastAsia"/>
        </w:rPr>
      </w:pPr>
      <w:r>
        <w:rPr>
          <w:rFonts w:hint="eastAsia"/>
        </w:rPr>
        <w:t>主要技术要求与标准</w:t>
      </w:r>
    </w:p>
    <w:tbl>
      <w:tblPr>
        <w:tblStyle w:val="10"/>
        <w:tblW w:w="46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0"/>
        <w:gridCol w:w="3765"/>
      </w:tblGrid>
      <w:tr w14:paraId="40D2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850" w:type="dxa"/>
            <w:shd w:val="clear" w:color="auto" w:fill="auto"/>
            <w:vAlign w:val="top"/>
          </w:tcPr>
          <w:p w14:paraId="370377F9">
            <w:pPr>
              <w:keepNext w:val="0"/>
              <w:keepLines w:val="0"/>
              <w:widowControl/>
              <w:suppressLineNumbers w:val="0"/>
              <w:jc w:val="both"/>
              <w:textAlignment w:val="top"/>
              <w:rPr>
                <w:rFonts w:hint="eastAsia" w:cs="宋体"/>
                <w:b w:val="0"/>
                <w:bCs w:val="0"/>
                <w:i w:val="0"/>
                <w:iCs w:val="0"/>
                <w:color w:val="000000"/>
                <w:kern w:val="0"/>
                <w:sz w:val="20"/>
                <w:szCs w:val="20"/>
                <w:u w:val="none"/>
                <w:lang w:val="en-US" w:eastAsia="zh-CN" w:bidi="ar"/>
              </w:rPr>
            </w:pPr>
            <w:r>
              <w:rPr>
                <w:rFonts w:hint="eastAsia" w:cs="宋体"/>
                <w:b w:val="0"/>
                <w:bCs w:val="0"/>
                <w:i w:val="0"/>
                <w:iCs w:val="0"/>
                <w:color w:val="000000"/>
                <w:kern w:val="0"/>
                <w:sz w:val="20"/>
                <w:szCs w:val="20"/>
                <w:u w:val="none"/>
                <w:lang w:val="en-US" w:eastAsia="zh-CN" w:bidi="ar"/>
              </w:rPr>
              <w:t>序号</w:t>
            </w:r>
          </w:p>
        </w:tc>
        <w:tc>
          <w:tcPr>
            <w:tcW w:w="3765" w:type="dxa"/>
            <w:shd w:val="clear" w:color="auto" w:fill="auto"/>
            <w:vAlign w:val="top"/>
          </w:tcPr>
          <w:p w14:paraId="11F47003">
            <w:pPr>
              <w:keepNext w:val="0"/>
              <w:keepLines w:val="0"/>
              <w:widowControl/>
              <w:suppressLineNumbers w:val="0"/>
              <w:jc w:val="both"/>
              <w:textAlignment w:val="top"/>
              <w:rPr>
                <w:rFonts w:hint="default" w:ascii="宋体" w:hAnsi="宋体" w:eastAsia="宋体" w:cs="宋体"/>
                <w:b w:val="0"/>
                <w:bCs w:val="0"/>
                <w:i w:val="0"/>
                <w:iCs w:val="0"/>
                <w:color w:val="000000"/>
                <w:kern w:val="0"/>
                <w:sz w:val="20"/>
                <w:szCs w:val="20"/>
                <w:u w:val="none"/>
                <w:lang w:val="en-US" w:eastAsia="zh-CN" w:bidi="ar"/>
              </w:rPr>
            </w:pPr>
            <w:r>
              <w:rPr>
                <w:rFonts w:hint="eastAsia" w:cs="宋体"/>
                <w:b w:val="0"/>
                <w:bCs w:val="0"/>
                <w:i w:val="0"/>
                <w:iCs w:val="0"/>
                <w:color w:val="000000"/>
                <w:kern w:val="0"/>
                <w:sz w:val="20"/>
                <w:szCs w:val="20"/>
                <w:u w:val="none"/>
                <w:lang w:val="en-US" w:eastAsia="zh-CN" w:bidi="ar"/>
              </w:rPr>
              <w:t>拟采购清单</w:t>
            </w:r>
          </w:p>
        </w:tc>
      </w:tr>
      <w:tr w14:paraId="298F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850" w:type="dxa"/>
            <w:shd w:val="clear" w:color="auto" w:fill="auto"/>
            <w:vAlign w:val="center"/>
          </w:tcPr>
          <w:p w14:paraId="32A3840F">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765" w:type="dxa"/>
            <w:shd w:val="clear" w:color="auto" w:fill="auto"/>
            <w:vAlign w:val="center"/>
          </w:tcPr>
          <w:p w14:paraId="38F8428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标准化考点专用网上巡查摄像机(含拾音器及施工集成)</w:t>
            </w:r>
          </w:p>
        </w:tc>
      </w:tr>
      <w:tr w14:paraId="72AE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850" w:type="dxa"/>
            <w:shd w:val="clear" w:color="auto" w:fill="auto"/>
            <w:vAlign w:val="center"/>
          </w:tcPr>
          <w:p w14:paraId="22E21543">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cs="宋体"/>
                <w:i w:val="0"/>
                <w:iCs w:val="0"/>
                <w:color w:val="000000"/>
                <w:kern w:val="0"/>
                <w:sz w:val="24"/>
                <w:szCs w:val="24"/>
                <w:u w:val="none"/>
                <w:lang w:val="en-US" w:eastAsia="zh-CN" w:bidi="ar"/>
              </w:rPr>
              <w:t>2</w:t>
            </w:r>
          </w:p>
        </w:tc>
        <w:tc>
          <w:tcPr>
            <w:tcW w:w="3765" w:type="dxa"/>
            <w:shd w:val="clear" w:color="auto" w:fill="auto"/>
            <w:vAlign w:val="center"/>
          </w:tcPr>
          <w:p w14:paraId="2E98BE61">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标准化考点数字时钟(含施工集成)</w:t>
            </w:r>
          </w:p>
        </w:tc>
      </w:tr>
      <w:tr w14:paraId="2A91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trPr>
        <w:tc>
          <w:tcPr>
            <w:tcW w:w="850" w:type="dxa"/>
            <w:shd w:val="clear" w:color="auto" w:fill="auto"/>
            <w:vAlign w:val="center"/>
          </w:tcPr>
          <w:p w14:paraId="2AC41C42">
            <w:pPr>
              <w:keepNext w:val="0"/>
              <w:keepLines w:val="0"/>
              <w:widowControl/>
              <w:suppressLineNumbers w:val="0"/>
              <w:jc w:val="left"/>
              <w:textAlignment w:val="center"/>
              <w:rPr>
                <w:rStyle w:val="17"/>
                <w:rFonts w:hint="default"/>
                <w:b w:val="0"/>
                <w:bCs w:val="0"/>
                <w:lang w:val="en-US" w:eastAsia="zh-CN" w:bidi="ar"/>
              </w:rPr>
            </w:pPr>
            <w:r>
              <w:rPr>
                <w:rFonts w:hint="eastAsia" w:cs="宋体"/>
                <w:i w:val="0"/>
                <w:iCs w:val="0"/>
                <w:color w:val="000000"/>
                <w:kern w:val="0"/>
                <w:sz w:val="24"/>
                <w:szCs w:val="24"/>
                <w:u w:val="none"/>
                <w:lang w:val="en-US" w:eastAsia="zh-CN" w:bidi="ar"/>
              </w:rPr>
              <w:t>3</w:t>
            </w:r>
          </w:p>
        </w:tc>
        <w:tc>
          <w:tcPr>
            <w:tcW w:w="3765" w:type="dxa"/>
            <w:shd w:val="clear" w:color="auto" w:fill="auto"/>
            <w:vAlign w:val="center"/>
          </w:tcPr>
          <w:p w14:paraId="0B60C0E5">
            <w:pPr>
              <w:keepNext w:val="0"/>
              <w:keepLines w:val="0"/>
              <w:widowControl/>
              <w:suppressLineNumbers w:val="0"/>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i w:val="0"/>
                <w:iCs w:val="0"/>
                <w:color w:val="000000"/>
                <w:kern w:val="0"/>
                <w:sz w:val="24"/>
                <w:szCs w:val="24"/>
                <w:u w:val="none"/>
                <w:lang w:val="en-US" w:eastAsia="zh-CN" w:bidi="ar"/>
              </w:rPr>
              <w:t>考场信号屏蔽终端(含施工集成)</w:t>
            </w:r>
          </w:p>
        </w:tc>
      </w:tr>
      <w:tr w14:paraId="2BE7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trPr>
        <w:tc>
          <w:tcPr>
            <w:tcW w:w="850" w:type="dxa"/>
            <w:shd w:val="clear" w:color="auto" w:fill="auto"/>
            <w:vAlign w:val="center"/>
          </w:tcPr>
          <w:p w14:paraId="13FC3A29">
            <w:pPr>
              <w:keepNext w:val="0"/>
              <w:keepLines w:val="0"/>
              <w:widowControl/>
              <w:suppressLineNumbers w:val="0"/>
              <w:jc w:val="left"/>
              <w:textAlignment w:val="center"/>
              <w:rPr>
                <w:rStyle w:val="17"/>
                <w:rFonts w:hint="default"/>
                <w:b w:val="0"/>
                <w:bCs w:val="0"/>
                <w:lang w:val="en-US" w:eastAsia="zh-CN" w:bidi="ar"/>
              </w:rPr>
            </w:pPr>
            <w:r>
              <w:rPr>
                <w:rStyle w:val="17"/>
                <w:rFonts w:hint="eastAsia"/>
                <w:b w:val="0"/>
                <w:bCs w:val="0"/>
                <w:lang w:val="en-US" w:eastAsia="zh-CN" w:bidi="ar"/>
              </w:rPr>
              <w:t>...</w:t>
            </w:r>
          </w:p>
        </w:tc>
        <w:tc>
          <w:tcPr>
            <w:tcW w:w="3765" w:type="dxa"/>
            <w:shd w:val="clear" w:color="auto" w:fill="auto"/>
            <w:vAlign w:val="center"/>
          </w:tcPr>
          <w:p w14:paraId="05C9645E">
            <w:pPr>
              <w:keepNext w:val="0"/>
              <w:keepLines w:val="0"/>
              <w:widowControl/>
              <w:suppressLineNumbers w:val="0"/>
              <w:jc w:val="left"/>
              <w:textAlignment w:val="center"/>
              <w:rPr>
                <w:rStyle w:val="17"/>
                <w:rFonts w:hint="default"/>
                <w:b w:val="0"/>
                <w:bCs w:val="0"/>
                <w:lang w:val="en-US" w:eastAsia="zh-CN" w:bidi="ar"/>
              </w:rPr>
            </w:pPr>
            <w:r>
              <w:rPr>
                <w:rStyle w:val="17"/>
                <w:rFonts w:hint="eastAsia"/>
                <w:b w:val="0"/>
                <w:bCs w:val="0"/>
                <w:lang w:val="en-US" w:eastAsia="zh-CN" w:bidi="ar"/>
              </w:rPr>
              <w:t>...</w:t>
            </w:r>
          </w:p>
        </w:tc>
      </w:tr>
    </w:tbl>
    <w:p w14:paraId="6D32F6B2">
      <w:pPr>
        <w:numPr>
          <w:ilvl w:val="0"/>
          <w:numId w:val="0"/>
        </w:numPr>
      </w:pPr>
    </w:p>
    <w:p w14:paraId="648D34A8">
      <w:pPr>
        <w:pStyle w:val="2"/>
        <w:numPr>
          <w:ilvl w:val="0"/>
          <w:numId w:val="1"/>
        </w:numPr>
        <w:ind w:left="0" w:leftChars="0" w:firstLine="0" w:firstLineChars="0"/>
        <w:rPr>
          <w:rFonts w:hint="eastAsia"/>
        </w:rPr>
      </w:pPr>
      <w:r>
        <w:rPr>
          <w:rFonts w:hint="eastAsia"/>
        </w:rPr>
        <w:t>主要品目信息的标的参数</w:t>
      </w:r>
    </w:p>
    <w:tbl>
      <w:tblPr>
        <w:tblStyle w:val="10"/>
        <w:tblW w:w="93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6"/>
        <w:gridCol w:w="1146"/>
        <w:gridCol w:w="7087"/>
      </w:tblGrid>
      <w:tr w14:paraId="1605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7D40112E">
            <w:pPr>
              <w:keepNext w:val="0"/>
              <w:keepLines w:val="0"/>
              <w:widowControl/>
              <w:suppressLineNumbers w:val="0"/>
              <w:jc w:val="both"/>
              <w:textAlignment w:val="top"/>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序号</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0C29E50F">
            <w:pPr>
              <w:keepNext w:val="0"/>
              <w:keepLines w:val="0"/>
              <w:widowControl/>
              <w:suppressLineNumbers w:val="0"/>
              <w:jc w:val="both"/>
              <w:textAlignment w:val="top"/>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品目</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top"/>
          </w:tcPr>
          <w:p w14:paraId="74A24EE5">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主要技术指标</w:t>
            </w:r>
          </w:p>
        </w:tc>
      </w:tr>
      <w:tr w14:paraId="133E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2"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1EBEFA25">
            <w:pPr>
              <w:keepNext w:val="0"/>
              <w:keepLines w:val="0"/>
              <w:widowControl/>
              <w:suppressLineNumbers w:val="0"/>
              <w:jc w:val="both"/>
              <w:textAlignment w:val="top"/>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002E1295">
            <w:pPr>
              <w:keepNext w:val="0"/>
              <w:keepLines w:val="0"/>
              <w:widowControl/>
              <w:suppressLineNumbers w:val="0"/>
              <w:jc w:val="both"/>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标准化考点专用网上巡查摄像机(含拾音器及施工集成)</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14B62B5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1、#符合H.264视频编码标准并兼容MPEG4视频编码格式，支持 G.711 和 AAC 音频编码标准，并支持 PS、TS流封装，支持时间同步功能，支持网络时间协议（NTP），具有数字时钟显示（OSD）功能，符合《国家教育考试网上巡查系统视频标准技术规范(2017版)JY/T-KS-JS-2017-1》，提供具有CMA或CNAS标识的第三方机构出具的检测报告复印件并加盖供应商公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2.视频采集终端具备实时操作系统，本身具有抗病毒和抗攻击能力； 支持像素≥200万像素(1920×1080)CMOS超宽动态ICR日夜型； 支持Micro SD/SDHC/SDXC卡(≥128G)断网本地存储； 支持 TCP/IP 协议，支持 SIP、RTP、RTCP 等网络协议；</w:t>
            </w:r>
          </w:p>
        </w:tc>
      </w:tr>
      <w:tr w14:paraId="43E0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2F7F5C7A">
            <w:pPr>
              <w:keepNext w:val="0"/>
              <w:keepLines w:val="0"/>
              <w:widowControl/>
              <w:suppressLineNumbers w:val="0"/>
              <w:jc w:val="both"/>
              <w:textAlignment w:val="top"/>
              <w:rPr>
                <w:rStyle w:val="15"/>
                <w:rFonts w:hint="default"/>
                <w:b w:val="0"/>
                <w:bCs w:val="0"/>
                <w:lang w:val="en-US" w:eastAsia="zh-CN" w:bidi="ar"/>
              </w:rPr>
            </w:pPr>
            <w:r>
              <w:rPr>
                <w:rStyle w:val="15"/>
                <w:rFonts w:hint="eastAsia"/>
                <w:b w:val="0"/>
                <w:bCs w:val="0"/>
                <w:lang w:val="en-US" w:eastAsia="zh-CN" w:bidi="ar"/>
              </w:rPr>
              <w:t>2</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0B0C2E03">
            <w:pPr>
              <w:keepNext w:val="0"/>
              <w:keepLines w:val="0"/>
              <w:widowControl/>
              <w:suppressLineNumbers w:val="0"/>
              <w:jc w:val="both"/>
              <w:textAlignment w:val="top"/>
              <w:rPr>
                <w:rFonts w:hint="eastAsia" w:ascii="宋体" w:hAnsi="宋体" w:eastAsia="宋体" w:cs="宋体"/>
                <w:b w:val="0"/>
                <w:bCs w:val="0"/>
                <w:i w:val="0"/>
                <w:iCs w:val="0"/>
                <w:color w:val="000000"/>
                <w:sz w:val="20"/>
                <w:szCs w:val="20"/>
                <w:u w:val="none"/>
              </w:rPr>
            </w:pPr>
            <w:r>
              <w:rPr>
                <w:rStyle w:val="15"/>
                <w:b w:val="0"/>
                <w:bCs w:val="0"/>
                <w:lang w:val="en-US" w:eastAsia="zh-CN" w:bidi="ar"/>
              </w:rPr>
              <w:t xml:space="preserve">标准化考点数字时钟 </w:t>
            </w:r>
            <w:r>
              <w:rPr>
                <w:rFonts w:hint="eastAsia" w:ascii="宋体" w:hAnsi="宋体" w:eastAsia="宋体" w:cs="宋体"/>
                <w:i w:val="0"/>
                <w:iCs w:val="0"/>
                <w:color w:val="000000"/>
                <w:kern w:val="0"/>
                <w:sz w:val="24"/>
                <w:szCs w:val="24"/>
                <w:u w:val="none"/>
                <w:lang w:val="en-US" w:eastAsia="zh-CN" w:bidi="ar"/>
              </w:rPr>
              <w:t>(含施工集成)</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7E4807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1.具有自动刷新功能，可设置显示模式，支持网管系统的直接控制。通讯故障检测功能。子钟应有时、分、秒、年、月、日、星期显示，显示应清晰，子钟安装位置应便于观看。单面数字子钟 ,显示部分,字高1.8（±0.1）英寸，特制宽型红色数码管 。显示钟面作防眩光处理，置于日光灯下应无反光现象。独立计时精度：±0.01秒/天；</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2.#平均无故障时间（MFBF）：≥8万小时 </w:t>
            </w:r>
          </w:p>
        </w:tc>
      </w:tr>
      <w:tr w14:paraId="6743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9"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025794E6">
            <w:pPr>
              <w:keepNext w:val="0"/>
              <w:keepLines w:val="0"/>
              <w:widowControl/>
              <w:suppressLineNumbers w:val="0"/>
              <w:jc w:val="both"/>
              <w:textAlignment w:val="top"/>
              <w:rPr>
                <w:rStyle w:val="14"/>
                <w:rFonts w:hint="default"/>
                <w:b w:val="0"/>
                <w:bCs w:val="0"/>
                <w:lang w:val="en-US" w:eastAsia="zh-CN" w:bidi="ar"/>
              </w:rPr>
            </w:pPr>
            <w:r>
              <w:rPr>
                <w:rStyle w:val="14"/>
                <w:rFonts w:hint="eastAsia"/>
                <w:b w:val="0"/>
                <w:bCs w:val="0"/>
                <w:lang w:val="en-US" w:eastAsia="zh-CN" w:bidi="ar"/>
              </w:rPr>
              <w:t>3</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5D2EBC58">
            <w:pPr>
              <w:keepNext w:val="0"/>
              <w:keepLines w:val="0"/>
              <w:widowControl/>
              <w:suppressLineNumbers w:val="0"/>
              <w:jc w:val="both"/>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考场信号屏蔽终端(含施工集成)</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230B762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工作频率范围：50MHz-5850MHz；侦测引导阻断频率范围：无缝覆盖50MHz-3000MHz（支持扩展）；手机信号屏蔽：能够屏蔽电信、移动、联通的2G/3G/4G/5G手机信号(视当地环境手机基站＞300米时，可有效屏蔽)；蓝牙/WIFI信号屏蔽：能够屏蔽2400MHz-2483.5MHz（2.4G）蓝牙信号以及2400MHz-2483.5MHz（2.4G）、5725MHz-5850MHz（5.8G）WIFI信号；</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2.阻断方式：对侦测引导阻断频率范围内的专业作弊信号，采用侦测引导阻断方式，对专业作弊信号实现点对点的精准阻断；对2G/3G/4G各种制式的手机信号和蓝牙/WIFI信号采用直接阻断方式；</w:t>
            </w:r>
          </w:p>
        </w:tc>
      </w:tr>
      <w:tr w14:paraId="1E84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53CF9C8E">
            <w:pPr>
              <w:keepNext w:val="0"/>
              <w:keepLines w:val="0"/>
              <w:widowControl/>
              <w:suppressLineNumbers w:val="0"/>
              <w:jc w:val="both"/>
              <w:textAlignment w:val="top"/>
              <w:rPr>
                <w:rStyle w:val="14"/>
                <w:rFonts w:hint="default"/>
                <w:b w:val="0"/>
                <w:bCs w:val="0"/>
                <w:lang w:val="en-US" w:eastAsia="zh-CN" w:bidi="ar"/>
              </w:rPr>
            </w:pPr>
            <w:r>
              <w:rPr>
                <w:rStyle w:val="14"/>
                <w:rFonts w:hint="eastAsia"/>
                <w:b w:val="0"/>
                <w:bCs w:val="0"/>
                <w:lang w:val="en-US" w:eastAsia="zh-CN" w:bidi="ar"/>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4C84BC7D">
            <w:pPr>
              <w:keepNext w:val="0"/>
              <w:keepLines w:val="0"/>
              <w:widowControl/>
              <w:suppressLineNumbers w:val="0"/>
              <w:jc w:val="both"/>
              <w:textAlignment w:val="top"/>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1FA29019">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cs="宋体"/>
                <w:b w:val="0"/>
                <w:bCs w:val="0"/>
                <w:i w:val="0"/>
                <w:iCs w:val="0"/>
                <w:color w:val="000000"/>
                <w:kern w:val="0"/>
                <w:sz w:val="22"/>
                <w:szCs w:val="22"/>
                <w:u w:val="none"/>
                <w:lang w:val="en-US" w:eastAsia="zh-CN" w:bidi="ar"/>
              </w:rPr>
              <w:t>..</w:t>
            </w:r>
            <w:bookmarkStart w:id="0" w:name="_GoBack"/>
            <w:bookmarkEnd w:id="0"/>
            <w:r>
              <w:rPr>
                <w:rFonts w:hint="eastAsia" w:cs="宋体"/>
                <w:b w:val="0"/>
                <w:bCs w:val="0"/>
                <w:i w:val="0"/>
                <w:iCs w:val="0"/>
                <w:color w:val="000000"/>
                <w:kern w:val="0"/>
                <w:sz w:val="22"/>
                <w:szCs w:val="22"/>
                <w:u w:val="none"/>
                <w:lang w:val="en-US" w:eastAsia="zh-CN" w:bidi="ar"/>
              </w:rPr>
              <w:t>.</w:t>
            </w:r>
          </w:p>
        </w:tc>
      </w:tr>
    </w:tbl>
    <w:p w14:paraId="70446615">
      <w:pPr>
        <w:numPr>
          <w:ilvl w:val="0"/>
          <w:numId w:val="0"/>
        </w:numPr>
        <w:ind w:leftChars="0"/>
      </w:pPr>
    </w:p>
    <w:p w14:paraId="4FF704A3">
      <w:pPr>
        <w:pStyle w:val="2"/>
      </w:pPr>
      <w:r>
        <w:rPr>
          <w:rFonts w:hint="eastAsia"/>
        </w:rPr>
        <w:t>5、评审方法及分值</w:t>
      </w:r>
    </w:p>
    <w:p w14:paraId="2EBD9CC0">
      <w:r>
        <w:rPr>
          <w:rFonts w:hint="eastAsia"/>
        </w:rPr>
        <w:t>评审方法：综合评分法：</w:t>
      </w:r>
      <w:r>
        <w:t xml:space="preserve"> </w:t>
      </w:r>
    </w:p>
    <w:tbl>
      <w:tblPr>
        <w:tblStyle w:val="10"/>
        <w:tblW w:w="4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475"/>
        <w:gridCol w:w="1166"/>
        <w:gridCol w:w="2911"/>
      </w:tblGrid>
      <w:tr w14:paraId="04CE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7F9F52CC">
            <w:r>
              <w:rPr>
                <w:rFonts w:hint="eastAsia"/>
              </w:rPr>
              <w:t>序号</w:t>
            </w:r>
          </w:p>
        </w:tc>
        <w:tc>
          <w:tcPr>
            <w:tcW w:w="1701" w:type="pct"/>
            <w:vAlign w:val="center"/>
          </w:tcPr>
          <w:p w14:paraId="1CA544E1">
            <w:r>
              <w:rPr>
                <w:rFonts w:hint="eastAsia"/>
              </w:rPr>
              <w:t>评分因素及权重</w:t>
            </w:r>
          </w:p>
        </w:tc>
        <w:tc>
          <w:tcPr>
            <w:tcW w:w="801" w:type="pct"/>
            <w:vAlign w:val="center"/>
          </w:tcPr>
          <w:p w14:paraId="3B5C1793">
            <w:r>
              <w:rPr>
                <w:rFonts w:hint="eastAsia"/>
              </w:rPr>
              <w:t>分值</w:t>
            </w:r>
          </w:p>
        </w:tc>
        <w:tc>
          <w:tcPr>
            <w:tcW w:w="2000" w:type="pct"/>
            <w:vAlign w:val="center"/>
          </w:tcPr>
          <w:p w14:paraId="4693BBFF">
            <w:r>
              <w:rPr>
                <w:rFonts w:hint="eastAsia"/>
              </w:rPr>
              <w:t>备注</w:t>
            </w:r>
          </w:p>
        </w:tc>
      </w:tr>
      <w:tr w14:paraId="74C1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4FD734CC">
            <w:r>
              <w:rPr>
                <w:rFonts w:hint="eastAsia"/>
              </w:rPr>
              <w:t>1</w:t>
            </w:r>
          </w:p>
        </w:tc>
        <w:tc>
          <w:tcPr>
            <w:tcW w:w="1701" w:type="pct"/>
            <w:vAlign w:val="center"/>
          </w:tcPr>
          <w:p w14:paraId="65383AE8">
            <w:r>
              <w:rPr>
                <w:rFonts w:hint="eastAsia"/>
              </w:rPr>
              <w:t>报价</w:t>
            </w:r>
            <w:r>
              <w:rPr>
                <w:rFonts w:hint="eastAsia"/>
                <w:lang w:val="en-US" w:eastAsia="zh-CN"/>
              </w:rPr>
              <w:t>35</w:t>
            </w:r>
            <w:r>
              <w:rPr>
                <w:rFonts w:hint="eastAsia"/>
              </w:rPr>
              <w:t>%</w:t>
            </w:r>
          </w:p>
        </w:tc>
        <w:tc>
          <w:tcPr>
            <w:tcW w:w="801" w:type="pct"/>
            <w:vAlign w:val="center"/>
          </w:tcPr>
          <w:p w14:paraId="72E747F9">
            <w:r>
              <w:rPr>
                <w:rFonts w:hint="eastAsia"/>
                <w:lang w:val="en-US" w:eastAsia="zh-CN"/>
              </w:rPr>
              <w:t>35</w:t>
            </w:r>
            <w:r>
              <w:rPr>
                <w:rFonts w:hint="eastAsia"/>
              </w:rPr>
              <w:t>分</w:t>
            </w:r>
          </w:p>
        </w:tc>
        <w:tc>
          <w:tcPr>
            <w:tcW w:w="2000" w:type="pct"/>
            <w:vMerge w:val="restart"/>
            <w:vAlign w:val="center"/>
          </w:tcPr>
          <w:p w14:paraId="713D7BBB">
            <w:r>
              <w:rPr>
                <w:rFonts w:hint="eastAsia"/>
              </w:rPr>
              <w:t>四舍五入，保留两位小数</w:t>
            </w:r>
          </w:p>
        </w:tc>
      </w:tr>
      <w:tr w14:paraId="6935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4848D983">
            <w:r>
              <w:rPr>
                <w:rFonts w:hint="eastAsia"/>
              </w:rPr>
              <w:t>2</w:t>
            </w:r>
          </w:p>
        </w:tc>
        <w:tc>
          <w:tcPr>
            <w:tcW w:w="1701" w:type="pct"/>
            <w:vAlign w:val="center"/>
          </w:tcPr>
          <w:p w14:paraId="52910C77">
            <w:r>
              <w:rPr>
                <w:rFonts w:hint="eastAsia"/>
              </w:rPr>
              <w:t>技术</w:t>
            </w:r>
            <w:r>
              <w:rPr>
                <w:rFonts w:hint="eastAsia"/>
                <w:lang w:val="en-US" w:eastAsia="zh-CN"/>
              </w:rPr>
              <w:t>指标及和配置50</w:t>
            </w:r>
            <w:r>
              <w:rPr>
                <w:rFonts w:hint="eastAsia"/>
              </w:rPr>
              <w:t>%</w:t>
            </w:r>
          </w:p>
        </w:tc>
        <w:tc>
          <w:tcPr>
            <w:tcW w:w="801" w:type="pct"/>
            <w:vAlign w:val="center"/>
          </w:tcPr>
          <w:p w14:paraId="48D3F1BC">
            <w:r>
              <w:rPr>
                <w:rFonts w:hint="eastAsia"/>
                <w:lang w:val="en-US" w:eastAsia="zh-CN"/>
              </w:rPr>
              <w:t>50</w:t>
            </w:r>
            <w:r>
              <w:rPr>
                <w:rFonts w:hint="eastAsia"/>
              </w:rPr>
              <w:t>分</w:t>
            </w:r>
          </w:p>
        </w:tc>
        <w:tc>
          <w:tcPr>
            <w:tcW w:w="2000" w:type="pct"/>
            <w:vMerge w:val="continue"/>
            <w:vAlign w:val="center"/>
          </w:tcPr>
          <w:p w14:paraId="3F863FAE"/>
        </w:tc>
      </w:tr>
      <w:tr w14:paraId="3278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5F24FFD4">
            <w:r>
              <w:rPr>
                <w:rFonts w:hint="eastAsia"/>
              </w:rPr>
              <w:t>3</w:t>
            </w:r>
          </w:p>
        </w:tc>
        <w:tc>
          <w:tcPr>
            <w:tcW w:w="1701" w:type="pct"/>
            <w:vAlign w:val="center"/>
          </w:tcPr>
          <w:p w14:paraId="008DC03C">
            <w:r>
              <w:rPr>
                <w:rFonts w:hint="eastAsia"/>
                <w:lang w:val="en-US" w:eastAsia="zh-CN"/>
              </w:rPr>
              <w:t>项目实施方案6</w:t>
            </w:r>
            <w:r>
              <w:rPr>
                <w:rFonts w:hint="eastAsia"/>
              </w:rPr>
              <w:t>%</w:t>
            </w:r>
          </w:p>
        </w:tc>
        <w:tc>
          <w:tcPr>
            <w:tcW w:w="801" w:type="pct"/>
            <w:vAlign w:val="center"/>
          </w:tcPr>
          <w:p w14:paraId="1DA66A8D">
            <w:r>
              <w:rPr>
                <w:rFonts w:hint="eastAsia"/>
                <w:lang w:val="en-US" w:eastAsia="zh-CN"/>
              </w:rPr>
              <w:t>6</w:t>
            </w:r>
            <w:r>
              <w:rPr>
                <w:rFonts w:hint="eastAsia"/>
              </w:rPr>
              <w:t>分</w:t>
            </w:r>
          </w:p>
        </w:tc>
        <w:tc>
          <w:tcPr>
            <w:tcW w:w="2000" w:type="pct"/>
            <w:vMerge w:val="continue"/>
            <w:vAlign w:val="center"/>
          </w:tcPr>
          <w:p w14:paraId="50E599DA"/>
        </w:tc>
      </w:tr>
      <w:tr w14:paraId="7FCE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7AF3CCAA">
            <w:r>
              <w:rPr>
                <w:rFonts w:hint="eastAsia"/>
              </w:rPr>
              <w:t>4</w:t>
            </w:r>
          </w:p>
        </w:tc>
        <w:tc>
          <w:tcPr>
            <w:tcW w:w="1701" w:type="pct"/>
            <w:vAlign w:val="center"/>
          </w:tcPr>
          <w:p w14:paraId="02AE26AB">
            <w:r>
              <w:rPr>
                <w:rFonts w:hint="eastAsia"/>
              </w:rPr>
              <w:t>履约能力</w:t>
            </w:r>
            <w:r>
              <w:rPr>
                <w:rFonts w:hint="eastAsia"/>
                <w:lang w:val="en-US" w:eastAsia="zh-CN"/>
              </w:rPr>
              <w:t>5</w:t>
            </w:r>
            <w:r>
              <w:rPr>
                <w:rFonts w:hint="eastAsia"/>
              </w:rPr>
              <w:t>%</w:t>
            </w:r>
          </w:p>
        </w:tc>
        <w:tc>
          <w:tcPr>
            <w:tcW w:w="801" w:type="pct"/>
            <w:vAlign w:val="center"/>
          </w:tcPr>
          <w:p w14:paraId="72475610">
            <w:r>
              <w:rPr>
                <w:rFonts w:hint="eastAsia"/>
                <w:lang w:val="en-US" w:eastAsia="zh-CN"/>
              </w:rPr>
              <w:t>5</w:t>
            </w:r>
            <w:r>
              <w:rPr>
                <w:rFonts w:hint="eastAsia"/>
              </w:rPr>
              <w:t>分</w:t>
            </w:r>
          </w:p>
        </w:tc>
        <w:tc>
          <w:tcPr>
            <w:tcW w:w="2000" w:type="pct"/>
            <w:vMerge w:val="continue"/>
            <w:vAlign w:val="center"/>
          </w:tcPr>
          <w:p w14:paraId="7C46198F"/>
        </w:tc>
      </w:tr>
      <w:tr w14:paraId="2101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1705F21D">
            <w:pPr>
              <w:rPr>
                <w:rFonts w:hint="eastAsia" w:eastAsia="宋体"/>
                <w:lang w:val="en-US" w:eastAsia="zh-CN"/>
              </w:rPr>
            </w:pPr>
            <w:r>
              <w:rPr>
                <w:rFonts w:hint="eastAsia"/>
                <w:lang w:val="en-US" w:eastAsia="zh-CN"/>
              </w:rPr>
              <w:t>5</w:t>
            </w:r>
          </w:p>
        </w:tc>
        <w:tc>
          <w:tcPr>
            <w:tcW w:w="1701" w:type="pct"/>
            <w:vAlign w:val="center"/>
          </w:tcPr>
          <w:p w14:paraId="103D3030">
            <w:pPr>
              <w:rPr>
                <w:rFonts w:hint="default" w:eastAsia="宋体"/>
                <w:lang w:val="en-US" w:eastAsia="zh-CN"/>
              </w:rPr>
            </w:pPr>
            <w:r>
              <w:rPr>
                <w:rFonts w:hint="eastAsia"/>
                <w:lang w:val="en-US" w:eastAsia="zh-CN"/>
              </w:rPr>
              <w:t>本地化服务2%</w:t>
            </w:r>
          </w:p>
        </w:tc>
        <w:tc>
          <w:tcPr>
            <w:tcW w:w="801" w:type="pct"/>
            <w:vAlign w:val="center"/>
          </w:tcPr>
          <w:p w14:paraId="7E9A4FFE">
            <w:pPr>
              <w:rPr>
                <w:rFonts w:hint="default" w:eastAsia="宋体"/>
                <w:lang w:val="en-US" w:eastAsia="zh-CN"/>
              </w:rPr>
            </w:pPr>
            <w:r>
              <w:rPr>
                <w:rFonts w:hint="eastAsia"/>
                <w:lang w:val="en-US" w:eastAsia="zh-CN"/>
              </w:rPr>
              <w:t>2分</w:t>
            </w:r>
          </w:p>
        </w:tc>
        <w:tc>
          <w:tcPr>
            <w:tcW w:w="2000" w:type="pct"/>
            <w:vMerge w:val="continue"/>
            <w:vAlign w:val="center"/>
          </w:tcPr>
          <w:p w14:paraId="3C612772"/>
        </w:tc>
      </w:tr>
      <w:tr w14:paraId="322D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1419D5EE">
            <w:pPr>
              <w:rPr>
                <w:rFonts w:hint="default"/>
                <w:lang w:val="en-US" w:eastAsia="zh-CN"/>
              </w:rPr>
            </w:pPr>
            <w:r>
              <w:rPr>
                <w:rFonts w:hint="eastAsia"/>
                <w:lang w:val="en-US" w:eastAsia="zh-CN"/>
              </w:rPr>
              <w:t>7</w:t>
            </w:r>
          </w:p>
        </w:tc>
        <w:tc>
          <w:tcPr>
            <w:tcW w:w="1701" w:type="pct"/>
            <w:vAlign w:val="center"/>
          </w:tcPr>
          <w:p w14:paraId="43839ABD">
            <w:pPr>
              <w:rPr>
                <w:rFonts w:hint="default"/>
                <w:lang w:val="en-US" w:eastAsia="zh-CN"/>
              </w:rPr>
            </w:pPr>
            <w:r>
              <w:rPr>
                <w:rFonts w:hint="eastAsia"/>
                <w:lang w:val="en-US" w:eastAsia="zh-CN"/>
              </w:rPr>
              <w:t>节能、环境及无线局域网产品2%</w:t>
            </w:r>
          </w:p>
        </w:tc>
        <w:tc>
          <w:tcPr>
            <w:tcW w:w="801" w:type="pct"/>
            <w:vAlign w:val="center"/>
          </w:tcPr>
          <w:p w14:paraId="2AA28E16">
            <w:pPr>
              <w:rPr>
                <w:rFonts w:hint="default"/>
                <w:lang w:val="en-US" w:eastAsia="zh-CN"/>
              </w:rPr>
            </w:pPr>
            <w:r>
              <w:rPr>
                <w:rFonts w:hint="eastAsia"/>
                <w:lang w:val="en-US" w:eastAsia="zh-CN"/>
              </w:rPr>
              <w:t>2分</w:t>
            </w:r>
          </w:p>
        </w:tc>
        <w:tc>
          <w:tcPr>
            <w:tcW w:w="2000" w:type="pct"/>
            <w:vMerge w:val="continue"/>
            <w:vAlign w:val="center"/>
          </w:tcPr>
          <w:p w14:paraId="64742AEC"/>
        </w:tc>
      </w:tr>
    </w:tbl>
    <w:p w14:paraId="5F414C00">
      <w:r>
        <w:rPr>
          <w:rFonts w:hint="eastAsia"/>
        </w:rPr>
        <w:t>6、合同管理安排</w:t>
      </w:r>
    </w:p>
    <w:p w14:paraId="32D7CC9F">
      <w:pPr>
        <w:pStyle w:val="3"/>
        <w:rPr>
          <w:rFonts w:hint="eastAsia" w:eastAsia="宋体"/>
          <w:lang w:eastAsia="zh-CN"/>
        </w:rPr>
      </w:pPr>
      <w:r>
        <w:rPr>
          <w:rFonts w:hint="eastAsia"/>
        </w:rPr>
        <w:t>1）合同类型：</w:t>
      </w:r>
      <w:r>
        <w:rPr>
          <w:rFonts w:hint="eastAsia"/>
          <w:lang w:val="en-US" w:eastAsia="zh-CN"/>
        </w:rPr>
        <w:t>货物</w:t>
      </w:r>
    </w:p>
    <w:p w14:paraId="4748E430">
      <w:pPr>
        <w:pStyle w:val="3"/>
        <w:rPr>
          <w:rFonts w:hint="default" w:eastAsia="宋体"/>
          <w:color w:val="FF0000"/>
          <w:lang w:val="en-US" w:eastAsia="zh-CN"/>
        </w:rPr>
      </w:pPr>
      <w:r>
        <w:rPr>
          <w:rFonts w:hint="eastAsia"/>
        </w:rPr>
        <w:t>2）合同履行期限：自合同签订之日起</w:t>
      </w:r>
      <w:r>
        <w:rPr>
          <w:rFonts w:hint="eastAsia"/>
          <w:u w:val="single"/>
          <w:lang w:val="en-US" w:eastAsia="zh-CN"/>
        </w:rPr>
        <w:t>30</w:t>
      </w:r>
      <w:r>
        <w:rPr>
          <w:rFonts w:hint="eastAsia"/>
        </w:rPr>
        <w:t>日</w:t>
      </w:r>
      <w:r>
        <w:rPr>
          <w:rFonts w:hint="eastAsia"/>
          <w:lang w:val="en-US" w:eastAsia="zh-CN"/>
        </w:rPr>
        <w:t>完成安装调试并试运行通过。</w:t>
      </w:r>
    </w:p>
    <w:p w14:paraId="4B495D88">
      <w:pPr>
        <w:pStyle w:val="3"/>
      </w:pPr>
      <w:r>
        <w:rPr>
          <w:rFonts w:hint="eastAsia"/>
        </w:rPr>
        <w:t>3）合同履约地点：采购单位指定地点</w:t>
      </w:r>
    </w:p>
    <w:p w14:paraId="525A92BF">
      <w:pPr>
        <w:pStyle w:val="3"/>
      </w:pPr>
      <w:r>
        <w:rPr>
          <w:rFonts w:hint="eastAsia"/>
        </w:rPr>
        <w:t>4）支付方式：分期付款</w:t>
      </w:r>
    </w:p>
    <w:p w14:paraId="066620EE">
      <w:pPr>
        <w:pStyle w:val="3"/>
      </w:pPr>
      <w:r>
        <w:t>5</w:t>
      </w:r>
      <w:r>
        <w:rPr>
          <w:rFonts w:hint="eastAsia"/>
        </w:rPr>
        <w:t>）质量保证金及缴纳形式：</w:t>
      </w:r>
    </w:p>
    <w:p w14:paraId="0024C760">
      <w:r>
        <w:rPr>
          <w:rFonts w:hint="eastAsia"/>
        </w:rPr>
        <w:t>中标/投标人是否需要缴纳质量保证金：是</w:t>
      </w:r>
    </w:p>
    <w:p w14:paraId="58FC897D">
      <w:r>
        <w:rPr>
          <w:rFonts w:hint="eastAsia"/>
        </w:rPr>
        <w:t>合同支付约定</w:t>
      </w:r>
    </w:p>
    <w:p w14:paraId="144EA383">
      <w:r>
        <w:rPr>
          <w:rFonts w:hint="eastAsia"/>
        </w:rPr>
        <w:t>付款条件：达到付款条件起</w:t>
      </w:r>
      <w:r>
        <w:rPr>
          <w:rFonts w:hint="eastAsia"/>
          <w:u w:val="single"/>
        </w:rPr>
        <w:t xml:space="preserve"> </w:t>
      </w:r>
      <w:r>
        <w:rPr>
          <w:u w:val="single"/>
        </w:rPr>
        <w:t>10</w:t>
      </w:r>
      <w:r>
        <w:rPr>
          <w:rFonts w:hint="eastAsia"/>
          <w:u w:val="single"/>
        </w:rPr>
        <w:t xml:space="preserve">   </w:t>
      </w:r>
      <w:r>
        <w:rPr>
          <w:rFonts w:hint="eastAsia"/>
        </w:rPr>
        <w:t>日。支付合同总金额</w:t>
      </w:r>
      <w:r>
        <w:rPr>
          <w:rFonts w:hint="eastAsia"/>
          <w:u w:val="single"/>
        </w:rPr>
        <w:t xml:space="preserve">  </w:t>
      </w:r>
      <w:r>
        <w:rPr>
          <w:u w:val="single"/>
        </w:rPr>
        <w:t>20</w:t>
      </w:r>
      <w:r>
        <w:rPr>
          <w:rFonts w:hint="eastAsia"/>
          <w:u w:val="single"/>
        </w:rPr>
        <w:t xml:space="preserve">  </w:t>
      </w:r>
      <w:r>
        <w:rPr>
          <w:rFonts w:hint="eastAsia"/>
        </w:rPr>
        <w:t>%。</w:t>
      </w:r>
    </w:p>
    <w:p w14:paraId="649D742F">
      <w:r>
        <w:rPr>
          <w:rFonts w:hint="eastAsia"/>
        </w:rPr>
        <w:t>分期付款条件（如有）：达到付款条件起</w:t>
      </w:r>
      <w:r>
        <w:rPr>
          <w:rFonts w:hint="eastAsia"/>
          <w:u w:val="single"/>
        </w:rPr>
        <w:t xml:space="preserve"> </w:t>
      </w:r>
      <w:r>
        <w:rPr>
          <w:u w:val="single"/>
        </w:rPr>
        <w:t>10</w:t>
      </w:r>
      <w:r>
        <w:rPr>
          <w:rFonts w:hint="eastAsia"/>
          <w:u w:val="single"/>
        </w:rPr>
        <w:t xml:space="preserve">   </w:t>
      </w:r>
      <w:r>
        <w:rPr>
          <w:rFonts w:hint="eastAsia"/>
        </w:rPr>
        <w:t>日。支付合同总金额</w:t>
      </w:r>
      <w:r>
        <w:rPr>
          <w:rFonts w:hint="eastAsia"/>
          <w:u w:val="single"/>
        </w:rPr>
        <w:t xml:space="preserve"> </w:t>
      </w:r>
      <w:r>
        <w:rPr>
          <w:u w:val="single"/>
        </w:rPr>
        <w:t>80</w:t>
      </w:r>
      <w:r>
        <w:rPr>
          <w:rFonts w:hint="eastAsia"/>
          <w:u w:val="single"/>
        </w:rPr>
        <w:t xml:space="preserve">   </w:t>
      </w:r>
      <w:r>
        <w:rPr>
          <w:rFonts w:hint="eastAsia"/>
        </w:rPr>
        <w:t>%。</w:t>
      </w:r>
    </w:p>
    <w:p w14:paraId="4D2AF668">
      <w:pPr>
        <w:pStyle w:val="3"/>
        <w:rPr>
          <w:color w:val="FF0000"/>
        </w:rPr>
      </w:pPr>
      <w:r>
        <w:t>6</w:t>
      </w:r>
      <w:r>
        <w:rPr>
          <w:rFonts w:hint="eastAsia"/>
        </w:rPr>
        <w:t>）验收交付标准和方法</w:t>
      </w:r>
    </w:p>
    <w:p w14:paraId="69EE3068">
      <w:r>
        <w:rPr>
          <w:rFonts w:hint="eastAsia"/>
        </w:rPr>
        <w:t>按合同执行</w:t>
      </w:r>
    </w:p>
    <w:p w14:paraId="62C334D9">
      <w:pPr>
        <w:pStyle w:val="3"/>
      </w:pPr>
      <w:r>
        <w:t>7</w:t>
      </w:r>
      <w:r>
        <w:rPr>
          <w:rFonts w:hint="eastAsia"/>
        </w:rPr>
        <w:t>）质量保修范围和保修期</w:t>
      </w:r>
    </w:p>
    <w:p w14:paraId="296F914A">
      <w:r>
        <w:rPr>
          <w:rFonts w:hint="eastAsia"/>
        </w:rPr>
        <w:t>按合同执行</w:t>
      </w:r>
    </w:p>
    <w:p w14:paraId="4A2BCCC5">
      <w:pPr>
        <w:pStyle w:val="3"/>
      </w:pPr>
      <w:r>
        <w:t>8</w:t>
      </w:r>
      <w:r>
        <w:rPr>
          <w:rFonts w:hint="eastAsia"/>
        </w:rPr>
        <w:t>）知识产权归属和处理方式</w:t>
      </w:r>
    </w:p>
    <w:p w14:paraId="094499A6">
      <w:r>
        <w:rPr>
          <w:rFonts w:hint="eastAsia"/>
        </w:rPr>
        <w:t>按合同执行</w:t>
      </w:r>
    </w:p>
    <w:p w14:paraId="2B03368A">
      <w:pPr>
        <w:pStyle w:val="3"/>
      </w:pPr>
      <w:r>
        <w:t>9</w:t>
      </w:r>
      <w:r>
        <w:rPr>
          <w:rFonts w:hint="eastAsia"/>
        </w:rPr>
        <w:t>）成本补偿和风险分担约定</w:t>
      </w:r>
    </w:p>
    <w:p w14:paraId="3EF82F0F">
      <w:r>
        <w:rPr>
          <w:rFonts w:hint="eastAsia"/>
        </w:rPr>
        <w:t>成本补偿已包含在项目预算内，所有风险均由投标人承担。</w:t>
      </w:r>
    </w:p>
    <w:p w14:paraId="71A373C5">
      <w:pPr>
        <w:pStyle w:val="3"/>
      </w:pPr>
      <w:r>
        <w:rPr>
          <w:rFonts w:hint="eastAsia"/>
        </w:rPr>
        <w:t>1</w:t>
      </w:r>
      <w:r>
        <w:t>0</w:t>
      </w:r>
      <w:r>
        <w:rPr>
          <w:rFonts w:hint="eastAsia"/>
        </w:rPr>
        <w:t>）违约责任与解决争议的方法</w:t>
      </w:r>
    </w:p>
    <w:p w14:paraId="000526DE">
      <w:r>
        <w:rPr>
          <w:rFonts w:hint="eastAsia"/>
        </w:rPr>
        <w:t>按合同执行</w:t>
      </w:r>
    </w:p>
    <w:p w14:paraId="6EC89E3B">
      <w:pPr>
        <w:pStyle w:val="3"/>
      </w:pPr>
      <w:r>
        <w:rPr>
          <w:rFonts w:hint="eastAsia"/>
        </w:rPr>
        <w:t>1</w:t>
      </w:r>
      <w:r>
        <w:t>1</w:t>
      </w:r>
      <w:r>
        <w:rPr>
          <w:rFonts w:hint="eastAsia"/>
        </w:rPr>
        <w:t>）合同其他条款</w:t>
      </w:r>
    </w:p>
    <w:p w14:paraId="121DD03A">
      <w:r>
        <w:rPr>
          <w:rFonts w:hint="eastAsia"/>
        </w:rPr>
        <w:t>按合同执行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89006">
    <w:pPr>
      <w:pBdr>
        <w:left w:val="single" w:color="4874CB" w:themeColor="accent1" w:sz="12" w:space="11"/>
      </w:pBdr>
      <w:tabs>
        <w:tab w:val="left" w:pos="622"/>
      </w:tabs>
      <w:rPr>
        <w:rFonts w:asciiTheme="majorHAnsi" w:hAnsiTheme="majorHAnsi" w:eastAsiaTheme="majorEastAsia" w:cstheme="majorBidi"/>
        <w:color w:val="2E54A1" w:themeColor="accent1" w:themeShade="BF"/>
        <w:sz w:val="26"/>
        <w:szCs w:val="26"/>
      </w:rPr>
    </w:pPr>
    <w:r>
      <w:rPr>
        <w:rFonts w:asciiTheme="majorHAnsi" w:hAnsiTheme="majorHAnsi" w:eastAsiaTheme="majorEastAsia" w:cstheme="majorBidi"/>
        <w:color w:val="2E54A1" w:themeColor="accent1" w:themeShade="BF"/>
        <w:sz w:val="26"/>
        <w:szCs w:val="26"/>
      </w:rPr>
      <w:fldChar w:fldCharType="begin"/>
    </w:r>
    <w:r>
      <w:rPr>
        <w:rFonts w:asciiTheme="majorHAnsi" w:hAnsiTheme="majorHAnsi" w:eastAsiaTheme="majorEastAsia" w:cstheme="majorBidi"/>
        <w:color w:val="2E54A1" w:themeColor="accent1" w:themeShade="BF"/>
        <w:sz w:val="26"/>
        <w:szCs w:val="26"/>
      </w:rPr>
      <w:instrText xml:space="preserve">PAGE   \* MERGEFORMAT</w:instrText>
    </w:r>
    <w:r>
      <w:rPr>
        <w:rFonts w:asciiTheme="majorHAnsi" w:hAnsiTheme="majorHAnsi" w:eastAsiaTheme="majorEastAsia" w:cstheme="majorBidi"/>
        <w:color w:val="2E54A1" w:themeColor="accent1" w:themeShade="BF"/>
        <w:sz w:val="26"/>
        <w:szCs w:val="26"/>
      </w:rPr>
      <w:fldChar w:fldCharType="separate"/>
    </w:r>
    <w:r>
      <w:rPr>
        <w:rFonts w:asciiTheme="majorHAnsi" w:hAnsiTheme="majorHAnsi" w:eastAsiaTheme="majorEastAsia" w:cstheme="majorBidi"/>
        <w:color w:val="2E54A1" w:themeColor="accent1" w:themeShade="BF"/>
        <w:sz w:val="26"/>
        <w:szCs w:val="26"/>
        <w:lang w:val="zh-CN"/>
      </w:rPr>
      <w:t>2</w:t>
    </w:r>
    <w:r>
      <w:rPr>
        <w:rFonts w:asciiTheme="majorHAnsi" w:hAnsiTheme="majorHAnsi" w:eastAsiaTheme="majorEastAsia" w:cstheme="majorBidi"/>
        <w:color w:val="2E54A1" w:themeColor="accent1" w:themeShade="BF"/>
        <w:sz w:val="26"/>
        <w:szCs w:val="26"/>
      </w:rPr>
      <w:fldChar w:fldCharType="end"/>
    </w:r>
  </w:p>
  <w:p w14:paraId="52D2BA5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E8C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2BE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11AB">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C0C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705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8EE01"/>
    <w:multiLevelType w:val="singleLevel"/>
    <w:tmpl w:val="FE58EE0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jNGI3YWNmOTRjNWY2OGE0NDdlOTFkYjQxYWIwYjMifQ=="/>
  </w:docVars>
  <w:rsids>
    <w:rsidRoot w:val="54E76F39"/>
    <w:rsid w:val="00000B6F"/>
    <w:rsid w:val="000409EC"/>
    <w:rsid w:val="001861A3"/>
    <w:rsid w:val="002867F1"/>
    <w:rsid w:val="002E3EDE"/>
    <w:rsid w:val="003E4D21"/>
    <w:rsid w:val="005F49F5"/>
    <w:rsid w:val="006F04AF"/>
    <w:rsid w:val="007D7654"/>
    <w:rsid w:val="00803710"/>
    <w:rsid w:val="0083077F"/>
    <w:rsid w:val="008560E6"/>
    <w:rsid w:val="009C3E94"/>
    <w:rsid w:val="00A57695"/>
    <w:rsid w:val="00A8201E"/>
    <w:rsid w:val="00B207E2"/>
    <w:rsid w:val="00B62AE9"/>
    <w:rsid w:val="00BD264B"/>
    <w:rsid w:val="00C57416"/>
    <w:rsid w:val="00DC708B"/>
    <w:rsid w:val="00DE45F1"/>
    <w:rsid w:val="00E904CB"/>
    <w:rsid w:val="00EB7E52"/>
    <w:rsid w:val="018D18FA"/>
    <w:rsid w:val="07344C54"/>
    <w:rsid w:val="0BD229F1"/>
    <w:rsid w:val="0F4F2C9E"/>
    <w:rsid w:val="114A37E2"/>
    <w:rsid w:val="158315E7"/>
    <w:rsid w:val="1C641258"/>
    <w:rsid w:val="21625AFD"/>
    <w:rsid w:val="24B2601A"/>
    <w:rsid w:val="287732F1"/>
    <w:rsid w:val="2A540F0C"/>
    <w:rsid w:val="2AE6436F"/>
    <w:rsid w:val="2EB6454D"/>
    <w:rsid w:val="3276759D"/>
    <w:rsid w:val="3345642D"/>
    <w:rsid w:val="340D56B4"/>
    <w:rsid w:val="45453477"/>
    <w:rsid w:val="45A2514E"/>
    <w:rsid w:val="4DF01BD2"/>
    <w:rsid w:val="52122E41"/>
    <w:rsid w:val="54E76F39"/>
    <w:rsid w:val="5EEF4006"/>
    <w:rsid w:val="5F9A4E08"/>
    <w:rsid w:val="61997BE3"/>
    <w:rsid w:val="61CA51E1"/>
    <w:rsid w:val="64DF4B67"/>
    <w:rsid w:val="671B19C4"/>
    <w:rsid w:val="72735A97"/>
    <w:rsid w:val="73312EE1"/>
    <w:rsid w:val="73F91480"/>
    <w:rsid w:val="74DF1B83"/>
    <w:rsid w:val="758549CF"/>
    <w:rsid w:val="7AF9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tabs>
        <w:tab w:val="left" w:pos="720"/>
      </w:tabs>
      <w:spacing w:before="260" w:after="260" w:line="360" w:lineRule="auto"/>
      <w:jc w:val="left"/>
      <w:outlineLvl w:val="1"/>
    </w:pPr>
    <w:rPr>
      <w:b/>
      <w:bCs/>
      <w:iCs/>
      <w:sz w:val="36"/>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toc 3"/>
    <w:basedOn w:val="1"/>
    <w:next w:val="1"/>
    <w:autoRedefine/>
    <w:qFormat/>
    <w:uiPriority w:val="0"/>
    <w:pPr>
      <w:ind w:left="840" w:leftChars="400"/>
    </w:pPr>
    <w:rPr>
      <w:rFonts w:ascii="Times New Roman" w:hAnsi="Times New Roman" w:cs="Times New Roma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rPr>
      <w:rFonts w:ascii="Times New Roman" w:hAnsi="Times New Roman" w:cs="Times New Roman"/>
    </w:rPr>
  </w:style>
  <w:style w:type="paragraph" w:styleId="9">
    <w:name w:val="Normal (Web)"/>
    <w:basedOn w:val="1"/>
    <w:autoRedefine/>
    <w:qFormat/>
    <w:uiPriority w:val="0"/>
    <w:pPr>
      <w:spacing w:beforeAutospacing="1" w:afterAutospacing="1"/>
      <w:jc w:val="left"/>
    </w:pPr>
    <w:rPr>
      <w:rFonts w:cs="Times New Roman"/>
      <w:kern w:val="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 w:type="character" w:customStyle="1" w:styleId="14">
    <w:name w:val="font21"/>
    <w:basedOn w:val="12"/>
    <w:qFormat/>
    <w:uiPriority w:val="0"/>
    <w:rPr>
      <w:rFonts w:hint="eastAsia" w:ascii="宋体" w:hAnsi="宋体" w:eastAsia="宋体" w:cs="宋体"/>
      <w:color w:val="000000"/>
      <w:sz w:val="24"/>
      <w:szCs w:val="24"/>
      <w:u w:val="none"/>
    </w:rPr>
  </w:style>
  <w:style w:type="character" w:customStyle="1" w:styleId="15">
    <w:name w:val="font11"/>
    <w:basedOn w:val="12"/>
    <w:qFormat/>
    <w:uiPriority w:val="0"/>
    <w:rPr>
      <w:rFonts w:hint="eastAsia" w:ascii="宋体" w:hAnsi="宋体" w:eastAsia="宋体" w:cs="宋体"/>
      <w:b/>
      <w:bCs/>
      <w:color w:val="000000"/>
      <w:sz w:val="20"/>
      <w:szCs w:val="20"/>
      <w:u w:val="none"/>
    </w:rPr>
  </w:style>
  <w:style w:type="character" w:customStyle="1" w:styleId="16">
    <w:name w:val="font31"/>
    <w:basedOn w:val="12"/>
    <w:qFormat/>
    <w:uiPriority w:val="0"/>
    <w:rPr>
      <w:rFonts w:hint="eastAsia" w:ascii="宋体" w:hAnsi="宋体" w:eastAsia="宋体" w:cs="宋体"/>
      <w:b/>
      <w:bCs/>
      <w:color w:val="000000"/>
      <w:sz w:val="20"/>
      <w:szCs w:val="20"/>
      <w:u w:val="none"/>
    </w:rPr>
  </w:style>
  <w:style w:type="character" w:customStyle="1" w:styleId="17">
    <w:name w:val="font41"/>
    <w:basedOn w:val="12"/>
    <w:qFormat/>
    <w:uiPriority w:val="0"/>
    <w:rPr>
      <w:rFonts w:hint="eastAsia" w:ascii="宋体" w:hAnsi="宋体" w:eastAsia="宋体" w:cs="宋体"/>
      <w:b/>
      <w:bCs/>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2868</Words>
  <Characters>3139</Characters>
  <Lines>23</Lines>
  <Paragraphs>6</Paragraphs>
  <TotalTime>2</TotalTime>
  <ScaleCrop>false</ScaleCrop>
  <LinksUpToDate>false</LinksUpToDate>
  <CharactersWithSpaces>3190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2024-02-29T07:43:00Z</dcterms:created>
  <dc:creator>张三</dc:creator>
  <cp:lastModifiedBy>Administrator</cp:lastModifiedBy>
  <dcterms:modified xsi:type="dcterms:W3CDTF">2024-10-18T00:17:58Z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DA7C223400C049A3B07B22F9CC9A6591_13</vt:lpwstr>
  </property>
</Properties>
</file>