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CCB40">
      <w:pPr>
        <w:widowControl/>
        <w:jc w:val="center"/>
        <w:rPr>
          <w:rFonts w:ascii="方正小标宋简体" w:eastAsia="方正小标宋简体"/>
          <w:color w:val="000000" w:themeColor="text1"/>
          <w:sz w:val="30"/>
          <w:szCs w:val="30"/>
          <w14:textFill>
            <w14:solidFill>
              <w14:schemeClr w14:val="tx1"/>
            </w14:solidFill>
          </w14:textFill>
        </w:rPr>
      </w:pPr>
      <w:r>
        <w:rPr>
          <w:rFonts w:hint="eastAsia" w:ascii="方正小标宋简体" w:hAnsi="宋体" w:eastAsia="方正小标宋简体" w:cs="宋体"/>
          <w:color w:val="000000" w:themeColor="text1"/>
          <w:kern w:val="0"/>
          <w:sz w:val="30"/>
          <w:szCs w:val="30"/>
          <w:lang w:bidi="ar"/>
          <w14:textFill>
            <w14:solidFill>
              <w14:schemeClr w14:val="tx1"/>
            </w14:solidFill>
          </w14:textFill>
        </w:rPr>
        <w:t>汽车与交通学院2025级本科生转专业工作实施细则</w:t>
      </w:r>
    </w:p>
    <w:p w14:paraId="59FEA43C">
      <w:pPr>
        <w:pStyle w:val="5"/>
      </w:pPr>
    </w:p>
    <w:p w14:paraId="0434898B">
      <w:pPr>
        <w:pStyle w:val="5"/>
        <w:ind w:firstLine="561"/>
      </w:pPr>
      <w:r>
        <w:rPr>
          <w:rFonts w:hint="eastAsia"/>
        </w:rPr>
        <w:t>根据《西华大学全日制本科学生转专业管理办法（修订）》的规定和《关于开展2025级本科生转专业工作的通知》要求，学院转专业工作考核小组研究决定，特制定本学院本科生转专业工作实施细则。</w:t>
      </w:r>
    </w:p>
    <w:p w14:paraId="497D3530">
      <w:pPr>
        <w:pStyle w:val="5"/>
        <w:numPr>
          <w:ilvl w:val="0"/>
          <w:numId w:val="1"/>
        </w:numPr>
        <w:ind w:hanging="571"/>
        <w:rPr>
          <w:rFonts w:ascii="黑体" w:hAnsi="黑体" w:eastAsia="黑体"/>
        </w:rPr>
      </w:pPr>
      <w:r>
        <w:rPr>
          <w:rFonts w:hint="eastAsia" w:ascii="黑体" w:hAnsi="黑体" w:eastAsia="黑体"/>
        </w:rPr>
        <w:t>接收计划</w:t>
      </w:r>
    </w:p>
    <w:tbl>
      <w:tblPr>
        <w:tblStyle w:val="7"/>
        <w:tblW w:w="8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78"/>
        <w:gridCol w:w="2442"/>
        <w:gridCol w:w="1468"/>
        <w:gridCol w:w="3262"/>
      </w:tblGrid>
      <w:tr w14:paraId="08DF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4" w:hRule="atLeast"/>
          <w:jc w:val="center"/>
        </w:trPr>
        <w:tc>
          <w:tcPr>
            <w:tcW w:w="978" w:type="dxa"/>
            <w:vAlign w:val="center"/>
          </w:tcPr>
          <w:p w14:paraId="0480A125">
            <w:pPr>
              <w:pStyle w:val="5"/>
              <w:spacing w:line="460" w:lineRule="exact"/>
              <w:ind w:firstLine="0"/>
              <w:jc w:val="center"/>
            </w:pPr>
            <w:r>
              <w:rPr>
                <w:rFonts w:hint="eastAsia"/>
              </w:rPr>
              <w:t>年级</w:t>
            </w:r>
          </w:p>
        </w:tc>
        <w:tc>
          <w:tcPr>
            <w:tcW w:w="2442" w:type="dxa"/>
            <w:vAlign w:val="center"/>
          </w:tcPr>
          <w:p w14:paraId="55B2BBD7">
            <w:pPr>
              <w:pStyle w:val="5"/>
              <w:spacing w:line="460" w:lineRule="exact"/>
              <w:ind w:firstLine="0"/>
              <w:jc w:val="center"/>
            </w:pPr>
            <w:r>
              <w:rPr>
                <w:rFonts w:hint="eastAsia"/>
              </w:rPr>
              <w:t>专业</w:t>
            </w:r>
          </w:p>
        </w:tc>
        <w:tc>
          <w:tcPr>
            <w:tcW w:w="1468" w:type="dxa"/>
            <w:vAlign w:val="center"/>
          </w:tcPr>
          <w:p w14:paraId="44DD182C">
            <w:pPr>
              <w:pStyle w:val="5"/>
              <w:spacing w:line="460" w:lineRule="exact"/>
              <w:ind w:firstLine="0"/>
              <w:jc w:val="center"/>
            </w:pPr>
            <w:r>
              <w:rPr>
                <w:rFonts w:hint="eastAsia"/>
              </w:rPr>
              <w:t>拟接收学生数上限</w:t>
            </w:r>
          </w:p>
        </w:tc>
        <w:tc>
          <w:tcPr>
            <w:tcW w:w="3262" w:type="dxa"/>
            <w:vAlign w:val="center"/>
          </w:tcPr>
          <w:p w14:paraId="70F52D7E">
            <w:pPr>
              <w:pStyle w:val="5"/>
              <w:spacing w:line="460" w:lineRule="exact"/>
              <w:ind w:firstLine="0"/>
              <w:jc w:val="center"/>
            </w:pPr>
            <w:r>
              <w:rPr>
                <w:rFonts w:hint="eastAsia"/>
              </w:rPr>
              <w:t>拟接收学生数占该专业当级在校生人数百分比</w:t>
            </w:r>
          </w:p>
        </w:tc>
      </w:tr>
      <w:tr w14:paraId="3685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978" w:type="dxa"/>
            <w:vAlign w:val="center"/>
          </w:tcPr>
          <w:p w14:paraId="751A6F42">
            <w:pPr>
              <w:pStyle w:val="5"/>
              <w:ind w:firstLine="0"/>
              <w:jc w:val="center"/>
            </w:pPr>
            <w:r>
              <w:rPr>
                <w:rFonts w:hint="eastAsia"/>
              </w:rPr>
              <w:t>2</w:t>
            </w:r>
            <w:r>
              <w:t>025</w:t>
            </w:r>
          </w:p>
        </w:tc>
        <w:tc>
          <w:tcPr>
            <w:tcW w:w="2442" w:type="dxa"/>
            <w:vAlign w:val="center"/>
          </w:tcPr>
          <w:p w14:paraId="122B1E88">
            <w:pPr>
              <w:pStyle w:val="5"/>
              <w:ind w:firstLine="0"/>
              <w:jc w:val="center"/>
            </w:pPr>
            <w:r>
              <w:rPr>
                <w:rFonts w:hint="eastAsia"/>
              </w:rPr>
              <w:t>车辆工程</w:t>
            </w:r>
          </w:p>
        </w:tc>
        <w:tc>
          <w:tcPr>
            <w:tcW w:w="1468" w:type="dxa"/>
            <w:vAlign w:val="center"/>
          </w:tcPr>
          <w:p w14:paraId="1B3EFC15">
            <w:pPr>
              <w:pStyle w:val="5"/>
              <w:ind w:firstLine="562"/>
            </w:pPr>
            <w:r>
              <w:t>29</w:t>
            </w:r>
          </w:p>
        </w:tc>
        <w:tc>
          <w:tcPr>
            <w:tcW w:w="3262" w:type="dxa"/>
            <w:vAlign w:val="center"/>
          </w:tcPr>
          <w:p w14:paraId="5A597FB4">
            <w:pPr>
              <w:pStyle w:val="5"/>
              <w:ind w:firstLine="1120" w:firstLineChars="400"/>
            </w:pPr>
            <w:r>
              <w:t>20%</w:t>
            </w:r>
          </w:p>
        </w:tc>
      </w:tr>
      <w:tr w14:paraId="5981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978" w:type="dxa"/>
            <w:vAlign w:val="center"/>
          </w:tcPr>
          <w:p w14:paraId="2773B543">
            <w:pPr>
              <w:pStyle w:val="5"/>
              <w:ind w:firstLine="0"/>
              <w:jc w:val="center"/>
            </w:pPr>
            <w:r>
              <w:rPr>
                <w:rFonts w:hint="eastAsia"/>
              </w:rPr>
              <w:t>2</w:t>
            </w:r>
            <w:r>
              <w:t>025</w:t>
            </w:r>
          </w:p>
        </w:tc>
        <w:tc>
          <w:tcPr>
            <w:tcW w:w="2442" w:type="dxa"/>
            <w:vAlign w:val="center"/>
          </w:tcPr>
          <w:p w14:paraId="1CFD851D">
            <w:pPr>
              <w:pStyle w:val="5"/>
              <w:ind w:firstLine="0"/>
              <w:jc w:val="center"/>
            </w:pPr>
            <w:r>
              <w:rPr>
                <w:rFonts w:hint="eastAsia"/>
              </w:rPr>
              <w:t>交通工程</w:t>
            </w:r>
          </w:p>
        </w:tc>
        <w:tc>
          <w:tcPr>
            <w:tcW w:w="1468" w:type="dxa"/>
            <w:vAlign w:val="center"/>
          </w:tcPr>
          <w:p w14:paraId="44E85EBC">
            <w:pPr>
              <w:pStyle w:val="5"/>
              <w:ind w:firstLine="562"/>
            </w:pPr>
            <w:r>
              <w:rPr>
                <w:rFonts w:hint="eastAsia"/>
              </w:rPr>
              <w:t>2</w:t>
            </w:r>
            <w:r>
              <w:t>3</w:t>
            </w:r>
          </w:p>
        </w:tc>
        <w:tc>
          <w:tcPr>
            <w:tcW w:w="3262" w:type="dxa"/>
            <w:vAlign w:val="center"/>
          </w:tcPr>
          <w:p w14:paraId="21872ACA">
            <w:pPr>
              <w:pStyle w:val="5"/>
              <w:ind w:firstLine="1120" w:firstLineChars="400"/>
            </w:pPr>
            <w:r>
              <w:rPr>
                <w:rFonts w:hint="eastAsia"/>
              </w:rPr>
              <w:t>2</w:t>
            </w:r>
            <w:r>
              <w:t>5%</w:t>
            </w:r>
          </w:p>
        </w:tc>
      </w:tr>
      <w:tr w14:paraId="709C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3" w:hRule="atLeast"/>
          <w:jc w:val="center"/>
        </w:trPr>
        <w:tc>
          <w:tcPr>
            <w:tcW w:w="978" w:type="dxa"/>
            <w:vAlign w:val="center"/>
          </w:tcPr>
          <w:p w14:paraId="50B59952">
            <w:pPr>
              <w:pStyle w:val="5"/>
              <w:ind w:firstLine="0"/>
              <w:jc w:val="center"/>
            </w:pPr>
            <w:r>
              <w:rPr>
                <w:rFonts w:hint="eastAsia"/>
              </w:rPr>
              <w:t>2</w:t>
            </w:r>
            <w:r>
              <w:t>025</w:t>
            </w:r>
          </w:p>
        </w:tc>
        <w:tc>
          <w:tcPr>
            <w:tcW w:w="2442" w:type="dxa"/>
            <w:vAlign w:val="center"/>
          </w:tcPr>
          <w:p w14:paraId="61C7CCA2">
            <w:pPr>
              <w:pStyle w:val="5"/>
              <w:ind w:firstLine="0"/>
              <w:jc w:val="center"/>
            </w:pPr>
            <w:r>
              <w:rPr>
                <w:rFonts w:hint="eastAsia"/>
              </w:rPr>
              <w:t>交通运输</w:t>
            </w:r>
          </w:p>
        </w:tc>
        <w:tc>
          <w:tcPr>
            <w:tcW w:w="1468" w:type="dxa"/>
            <w:vAlign w:val="center"/>
          </w:tcPr>
          <w:p w14:paraId="490247A1">
            <w:pPr>
              <w:pStyle w:val="5"/>
              <w:ind w:firstLine="562"/>
            </w:pPr>
            <w:r>
              <w:rPr>
                <w:rFonts w:hint="eastAsia"/>
              </w:rPr>
              <w:t>1</w:t>
            </w:r>
            <w:r>
              <w:t>4</w:t>
            </w:r>
          </w:p>
        </w:tc>
        <w:tc>
          <w:tcPr>
            <w:tcW w:w="3262" w:type="dxa"/>
            <w:vAlign w:val="center"/>
          </w:tcPr>
          <w:p w14:paraId="7782D117">
            <w:pPr>
              <w:pStyle w:val="5"/>
              <w:ind w:firstLine="1120" w:firstLineChars="400"/>
            </w:pPr>
            <w:r>
              <w:rPr>
                <w:rFonts w:hint="eastAsia"/>
              </w:rPr>
              <w:t>2</w:t>
            </w:r>
            <w:r>
              <w:t>5%</w:t>
            </w:r>
          </w:p>
        </w:tc>
      </w:tr>
      <w:tr w14:paraId="123D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978" w:type="dxa"/>
            <w:vAlign w:val="center"/>
          </w:tcPr>
          <w:p w14:paraId="360B70BD">
            <w:pPr>
              <w:pStyle w:val="5"/>
              <w:ind w:firstLine="0"/>
              <w:jc w:val="center"/>
            </w:pPr>
            <w:r>
              <w:rPr>
                <w:rFonts w:hint="eastAsia"/>
              </w:rPr>
              <w:t>2</w:t>
            </w:r>
            <w:r>
              <w:t>025</w:t>
            </w:r>
          </w:p>
        </w:tc>
        <w:tc>
          <w:tcPr>
            <w:tcW w:w="2442" w:type="dxa"/>
            <w:vAlign w:val="center"/>
          </w:tcPr>
          <w:p w14:paraId="6FF0C605">
            <w:pPr>
              <w:pStyle w:val="5"/>
              <w:ind w:firstLine="0"/>
              <w:jc w:val="center"/>
            </w:pPr>
            <w:r>
              <w:rPr>
                <w:rFonts w:hint="eastAsia"/>
              </w:rPr>
              <w:t>汽车服务工程</w:t>
            </w:r>
          </w:p>
        </w:tc>
        <w:tc>
          <w:tcPr>
            <w:tcW w:w="1468" w:type="dxa"/>
            <w:vAlign w:val="center"/>
          </w:tcPr>
          <w:p w14:paraId="02E992F9">
            <w:pPr>
              <w:pStyle w:val="5"/>
              <w:ind w:firstLine="562"/>
            </w:pPr>
            <w:r>
              <w:rPr>
                <w:rFonts w:hint="eastAsia"/>
              </w:rPr>
              <w:t>1</w:t>
            </w:r>
            <w:r>
              <w:t>4</w:t>
            </w:r>
          </w:p>
        </w:tc>
        <w:tc>
          <w:tcPr>
            <w:tcW w:w="3262" w:type="dxa"/>
            <w:vAlign w:val="center"/>
          </w:tcPr>
          <w:p w14:paraId="55B81653">
            <w:pPr>
              <w:pStyle w:val="5"/>
              <w:ind w:firstLine="1120" w:firstLineChars="400"/>
            </w:pPr>
            <w:r>
              <w:rPr>
                <w:rFonts w:hint="eastAsia"/>
              </w:rPr>
              <w:t>2</w:t>
            </w:r>
            <w:r>
              <w:t>5%</w:t>
            </w:r>
          </w:p>
        </w:tc>
      </w:tr>
      <w:tr w14:paraId="1345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978" w:type="dxa"/>
            <w:vAlign w:val="center"/>
          </w:tcPr>
          <w:p w14:paraId="54C05B48">
            <w:pPr>
              <w:pStyle w:val="5"/>
              <w:ind w:firstLine="0"/>
              <w:jc w:val="center"/>
            </w:pPr>
            <w:r>
              <w:rPr>
                <w:rFonts w:hint="eastAsia"/>
              </w:rPr>
              <w:t>2</w:t>
            </w:r>
            <w:r>
              <w:t>025</w:t>
            </w:r>
          </w:p>
        </w:tc>
        <w:tc>
          <w:tcPr>
            <w:tcW w:w="2442" w:type="dxa"/>
            <w:vAlign w:val="center"/>
          </w:tcPr>
          <w:p w14:paraId="727AC846">
            <w:pPr>
              <w:pStyle w:val="5"/>
              <w:ind w:firstLine="0"/>
              <w:jc w:val="center"/>
            </w:pPr>
            <w:r>
              <w:rPr>
                <w:rFonts w:hint="eastAsia"/>
              </w:rPr>
              <w:t>新能源汽车工程</w:t>
            </w:r>
          </w:p>
        </w:tc>
        <w:tc>
          <w:tcPr>
            <w:tcW w:w="1468" w:type="dxa"/>
            <w:vAlign w:val="center"/>
          </w:tcPr>
          <w:p w14:paraId="6B620D94">
            <w:pPr>
              <w:pStyle w:val="5"/>
              <w:ind w:firstLine="562"/>
            </w:pPr>
            <w:r>
              <w:t>15</w:t>
            </w:r>
          </w:p>
        </w:tc>
        <w:tc>
          <w:tcPr>
            <w:tcW w:w="3262" w:type="dxa"/>
            <w:vAlign w:val="center"/>
          </w:tcPr>
          <w:p w14:paraId="2BAFD330">
            <w:pPr>
              <w:pStyle w:val="5"/>
              <w:ind w:firstLine="1120" w:firstLineChars="400"/>
            </w:pPr>
            <w:r>
              <w:t>15%</w:t>
            </w:r>
          </w:p>
        </w:tc>
      </w:tr>
    </w:tbl>
    <w:p w14:paraId="0C999FA2">
      <w:pPr>
        <w:pStyle w:val="5"/>
        <w:numPr>
          <w:ilvl w:val="0"/>
          <w:numId w:val="1"/>
        </w:numPr>
        <w:ind w:hanging="571"/>
        <w:rPr>
          <w:rFonts w:ascii="黑体" w:hAnsi="黑体" w:eastAsia="黑体"/>
        </w:rPr>
      </w:pPr>
      <w:r>
        <w:rPr>
          <w:rFonts w:hint="eastAsia" w:ascii="黑体" w:hAnsi="黑体" w:eastAsia="黑体"/>
        </w:rPr>
        <w:t>申请条件</w:t>
      </w:r>
    </w:p>
    <w:p w14:paraId="22600F88">
      <w:pPr>
        <w:pStyle w:val="5"/>
        <w:numPr>
          <w:ilvl w:val="0"/>
          <w:numId w:val="2"/>
        </w:numPr>
        <w:ind w:hanging="848"/>
      </w:pPr>
      <w:r>
        <w:rPr>
          <w:rFonts w:hint="eastAsia"/>
        </w:rPr>
        <w:t>转出申请条件</w:t>
      </w:r>
    </w:p>
    <w:p w14:paraId="4D1D09D2">
      <w:pPr>
        <w:pStyle w:val="5"/>
      </w:pPr>
      <w:bookmarkStart w:id="0" w:name="_Hlk225505685"/>
      <w:r>
        <w:rPr>
          <w:rFonts w:hint="eastAsia"/>
        </w:rPr>
        <w:t>《西华大学全日制本科学生转专业管理办法（修订）》中规定的转出条件。</w:t>
      </w:r>
    </w:p>
    <w:bookmarkEnd w:id="0"/>
    <w:p w14:paraId="4B049F93">
      <w:pPr>
        <w:pStyle w:val="5"/>
      </w:pPr>
      <w:r>
        <w:rPr>
          <w:rFonts w:hint="eastAsia"/>
        </w:rPr>
        <w:t>（二）转入申请条件</w:t>
      </w:r>
    </w:p>
    <w:p w14:paraId="2FC3BC6D">
      <w:pPr>
        <w:pStyle w:val="5"/>
      </w:pPr>
      <w:r>
        <w:rPr>
          <w:rFonts w:hint="eastAsia"/>
        </w:rPr>
        <w:t>学生申请转入时，须满足下列基本条件：</w:t>
      </w:r>
    </w:p>
    <w:p w14:paraId="1352ECCE">
      <w:pPr>
        <w:pStyle w:val="5"/>
      </w:pPr>
      <w:r>
        <w:rPr>
          <w:rFonts w:hint="eastAsia"/>
        </w:rPr>
        <w:t>1.学业类：</w:t>
      </w:r>
    </w:p>
    <w:p w14:paraId="43D3A8BE">
      <w:pPr>
        <w:pStyle w:val="5"/>
      </w:pPr>
      <w:r>
        <w:rPr>
          <w:rFonts w:hint="eastAsia"/>
        </w:rPr>
        <w:t>（1）符合《西华大学全日制本科学生转专业管理办法（修订）》所规定的转专业类别与资格条件。</w:t>
      </w:r>
    </w:p>
    <w:p w14:paraId="1D4B63A9">
      <w:pPr>
        <w:pStyle w:val="5"/>
      </w:pPr>
      <w:r>
        <w:rPr>
          <w:rFonts w:hint="eastAsia"/>
        </w:rPr>
        <w:t>（2）普通高等学校招生考试科目应包含物理和化学。</w:t>
      </w:r>
    </w:p>
    <w:p w14:paraId="254EDFCD">
      <w:pPr>
        <w:pStyle w:val="5"/>
      </w:pPr>
      <w:r>
        <w:rPr>
          <w:rFonts w:hint="eastAsia"/>
        </w:rPr>
        <w:t>（</w:t>
      </w:r>
      <w:r>
        <w:t>3</w:t>
      </w:r>
      <w:r>
        <w:rPr>
          <w:rFonts w:hint="eastAsia"/>
        </w:rPr>
        <w:t>）已修读课程平均学分绩点≥</w:t>
      </w:r>
      <w:r>
        <w:t>3.75</w:t>
      </w:r>
      <w:r>
        <w:rPr>
          <w:rFonts w:hint="eastAsia"/>
        </w:rPr>
        <w:t>。平均学分绩点的计算方法按照《西华大学本科学生学分制学籍管理规定》执行。</w:t>
      </w:r>
    </w:p>
    <w:p w14:paraId="3BF77366">
      <w:pPr>
        <w:pStyle w:val="5"/>
      </w:pPr>
      <w:r>
        <w:rPr>
          <w:rFonts w:hint="eastAsia"/>
        </w:rPr>
        <w:t>（</w:t>
      </w:r>
      <w:r>
        <w:t>4</w:t>
      </w:r>
      <w:r>
        <w:rPr>
          <w:rFonts w:hint="eastAsia"/>
        </w:rPr>
        <w:t>）高等数学或微积分课程正考成绩≥</w:t>
      </w:r>
      <w:r>
        <w:t>85</w:t>
      </w:r>
      <w:r>
        <w:rPr>
          <w:rFonts w:hint="eastAsia"/>
        </w:rPr>
        <w:t>分</w:t>
      </w:r>
      <w:r>
        <w:t>;</w:t>
      </w:r>
      <w:r>
        <w:rPr>
          <w:rFonts w:hint="eastAsia"/>
        </w:rPr>
        <w:t>如无高等数学或微积分课程，则，高考数学成绩≥</w:t>
      </w:r>
      <w:r>
        <w:t>125</w:t>
      </w:r>
      <w:r>
        <w:rPr>
          <w:rFonts w:hint="eastAsia"/>
        </w:rPr>
        <w:t>分（满分1</w:t>
      </w:r>
      <w:r>
        <w:t>50</w:t>
      </w:r>
      <w:r>
        <w:rPr>
          <w:rFonts w:hint="eastAsia"/>
        </w:rPr>
        <w:t>分）。</w:t>
      </w:r>
    </w:p>
    <w:p w14:paraId="1F12D896">
      <w:pPr>
        <w:pStyle w:val="5"/>
      </w:pPr>
      <w:r>
        <w:rPr>
          <w:rFonts w:hint="eastAsia"/>
        </w:rPr>
        <w:t>（</w:t>
      </w:r>
      <w:r>
        <w:t>5</w:t>
      </w:r>
      <w:r>
        <w:rPr>
          <w:rFonts w:hint="eastAsia"/>
        </w:rPr>
        <w:t>）大学英语类课程正考成绩≥</w:t>
      </w:r>
      <w:r>
        <w:t>80</w:t>
      </w:r>
      <w:r>
        <w:rPr>
          <w:rFonts w:hint="eastAsia"/>
        </w:rPr>
        <w:t>分，英语四级笔试成绩≥</w:t>
      </w:r>
      <w:r>
        <w:t>450</w:t>
      </w:r>
      <w:r>
        <w:rPr>
          <w:rFonts w:hint="eastAsia"/>
        </w:rPr>
        <w:t>分。</w:t>
      </w:r>
    </w:p>
    <w:p w14:paraId="4E5D6BB1">
      <w:pPr>
        <w:pStyle w:val="5"/>
      </w:pPr>
      <w:r>
        <w:rPr>
          <w:rFonts w:hint="eastAsia"/>
        </w:rPr>
        <w:t>2</w:t>
      </w:r>
      <w:r>
        <w:t>.</w:t>
      </w:r>
      <w:r>
        <w:rPr>
          <w:rFonts w:hint="eastAsia"/>
        </w:rPr>
        <w:t>学科专长类、特殊困难类、社会需求类</w:t>
      </w:r>
    </w:p>
    <w:p w14:paraId="16FA08B8">
      <w:pPr>
        <w:pStyle w:val="5"/>
      </w:pPr>
      <w:r>
        <w:rPr>
          <w:rFonts w:hint="eastAsia"/>
        </w:rPr>
        <w:t>（1）符合《西华大学全日制本科学生转专业管理办法（修订）》所规定的转专业类别与资格条件。</w:t>
      </w:r>
    </w:p>
    <w:p w14:paraId="08EBC0A6">
      <w:pPr>
        <w:pStyle w:val="5"/>
      </w:pPr>
      <w:r>
        <w:rPr>
          <w:rFonts w:hint="eastAsia"/>
        </w:rPr>
        <w:t>（2）普通高等学校招生考试科目应包含物理和化学。</w:t>
      </w:r>
    </w:p>
    <w:p w14:paraId="5350133B">
      <w:pPr>
        <w:pStyle w:val="5"/>
      </w:pPr>
      <w:r>
        <w:rPr>
          <w:rFonts w:hint="eastAsia"/>
        </w:rPr>
        <w:t>（</w:t>
      </w:r>
      <w:r>
        <w:t>3</w:t>
      </w:r>
      <w:r>
        <w:rPr>
          <w:rFonts w:hint="eastAsia"/>
        </w:rPr>
        <w:t>）所修课程平均学分绩点在本年级本专业在籍在校前</w:t>
      </w:r>
      <w:r>
        <w:t>50%（含）以内。</w:t>
      </w:r>
    </w:p>
    <w:p w14:paraId="1C161620">
      <w:pPr>
        <w:pStyle w:val="5"/>
      </w:pPr>
      <w:r>
        <w:rPr>
          <w:rFonts w:hint="eastAsia"/>
        </w:rPr>
        <w:t>（4）高等数学或微积分课程正考成绩≥</w:t>
      </w:r>
      <w:r>
        <w:t>80</w:t>
      </w:r>
      <w:r>
        <w:rPr>
          <w:rFonts w:hint="eastAsia"/>
        </w:rPr>
        <w:t>分;如无高等数学或微积分课程，则，高考数学成绩≥1</w:t>
      </w:r>
      <w:r>
        <w:t>15</w:t>
      </w:r>
      <w:r>
        <w:rPr>
          <w:rFonts w:hint="eastAsia"/>
        </w:rPr>
        <w:t>分（满分1</w:t>
      </w:r>
      <w:r>
        <w:t>50</w:t>
      </w:r>
      <w:r>
        <w:rPr>
          <w:rFonts w:hint="eastAsia"/>
        </w:rPr>
        <w:t>分）。</w:t>
      </w:r>
    </w:p>
    <w:p w14:paraId="165B959B">
      <w:pPr>
        <w:pStyle w:val="5"/>
      </w:pPr>
      <w:r>
        <w:rPr>
          <w:rFonts w:hint="eastAsia"/>
        </w:rPr>
        <w:t>（5）大学英语类课程正考成绩≥</w:t>
      </w:r>
      <w:r>
        <w:t>75</w:t>
      </w:r>
      <w:r>
        <w:rPr>
          <w:rFonts w:hint="eastAsia"/>
        </w:rPr>
        <w:t>分，英语四级笔试成绩≥4</w:t>
      </w:r>
      <w:r>
        <w:t>2</w:t>
      </w:r>
      <w:r>
        <w:rPr>
          <w:rFonts w:hint="eastAsia"/>
        </w:rPr>
        <w:t>5分。</w:t>
      </w:r>
    </w:p>
    <w:p w14:paraId="4619EC32">
      <w:pPr>
        <w:pStyle w:val="5"/>
      </w:pPr>
      <w:r>
        <w:rPr>
          <w:rFonts w:hint="eastAsia"/>
        </w:rPr>
        <w:t>3</w:t>
      </w:r>
      <w:r>
        <w:t>.</w:t>
      </w:r>
      <w:r>
        <w:rPr>
          <w:rFonts w:hint="eastAsia"/>
        </w:rPr>
        <w:t>复学类转专业的按学校有关文件或规定执行。</w:t>
      </w:r>
    </w:p>
    <w:p w14:paraId="121C198F">
      <w:pPr>
        <w:pStyle w:val="5"/>
        <w:numPr>
          <w:ilvl w:val="0"/>
          <w:numId w:val="1"/>
        </w:numPr>
        <w:ind w:hanging="571"/>
        <w:rPr>
          <w:rFonts w:ascii="黑体" w:hAnsi="黑体" w:eastAsia="黑体"/>
        </w:rPr>
      </w:pPr>
      <w:r>
        <w:rPr>
          <w:rFonts w:hint="eastAsia" w:ascii="黑体" w:hAnsi="黑体" w:eastAsia="黑体"/>
        </w:rPr>
        <w:t>考核办法</w:t>
      </w:r>
    </w:p>
    <w:p w14:paraId="7BFDBB5F">
      <w:pPr>
        <w:pStyle w:val="5"/>
      </w:pPr>
      <w:r>
        <w:rPr>
          <w:rFonts w:hint="eastAsia"/>
        </w:rPr>
        <w:t>（一）考核组织</w:t>
      </w:r>
    </w:p>
    <w:p w14:paraId="500A221F">
      <w:pPr>
        <w:pStyle w:val="5"/>
      </w:pPr>
      <w:r>
        <w:rPr>
          <w:rFonts w:hint="eastAsia"/>
        </w:rPr>
        <w:t>学院成立转专业工作考核小组，负责转专业考核等具体事宜，小组成员如下：</w:t>
      </w:r>
    </w:p>
    <w:p w14:paraId="2FCBEDC8">
      <w:pPr>
        <w:pStyle w:val="5"/>
      </w:pPr>
      <w:r>
        <w:rPr>
          <w:rFonts w:hint="eastAsia"/>
        </w:rPr>
        <w:t>组长：孙树磊</w:t>
      </w:r>
    </w:p>
    <w:p w14:paraId="3D6DE86C">
      <w:pPr>
        <w:pStyle w:val="5"/>
      </w:pPr>
      <w:r>
        <w:rPr>
          <w:rFonts w:hint="eastAsia"/>
        </w:rPr>
        <w:t xml:space="preserve">成员：裴西宏 罗建 蔡云 邓鹏毅 朱晓海 杨继斌 孙小秋 程波 </w:t>
      </w:r>
    </w:p>
    <w:p w14:paraId="219893D5">
      <w:pPr>
        <w:pStyle w:val="5"/>
      </w:pPr>
      <w:r>
        <w:rPr>
          <w:rFonts w:hint="eastAsia"/>
        </w:rPr>
        <w:t>（二）考核方式</w:t>
      </w:r>
    </w:p>
    <w:p w14:paraId="66424899">
      <w:pPr>
        <w:pStyle w:val="5"/>
        <w:ind w:firstLine="562"/>
      </w:pPr>
      <w:r>
        <w:rPr>
          <w:rFonts w:hint="eastAsia"/>
        </w:rPr>
        <w:t>以转专业学生的志愿报名和平均学分绩点、年级专业排名百分比为主要考核因素，综合考核学生的学习态度、学习情况和转专业的意愿强烈程度等情况。相同情况下，单独考核学生高等数学或微积分、大学英语2门课程的学习情况。具体如下：</w:t>
      </w:r>
    </w:p>
    <w:p w14:paraId="17434D08">
      <w:pPr>
        <w:pStyle w:val="5"/>
      </w:pPr>
      <w:r>
        <w:rPr>
          <w:rFonts w:hint="eastAsia"/>
        </w:rPr>
        <w:t>1、符合条件并申请转专业的学生严格按学校和学院转专业通知要求的时间节点在网上报名，并在系统中上传以下考核要求的、反映学生学习情况的附件材料：</w:t>
      </w:r>
    </w:p>
    <w:p w14:paraId="25EE5064">
      <w:pPr>
        <w:pStyle w:val="5"/>
      </w:pPr>
      <w:r>
        <w:rPr>
          <w:rFonts w:hint="eastAsia"/>
        </w:rPr>
        <w:t>（1）教务处自助打印机打印的成绩单;</w:t>
      </w:r>
    </w:p>
    <w:p w14:paraId="428ED216">
      <w:pPr>
        <w:pStyle w:val="5"/>
      </w:pPr>
      <w:r>
        <w:rPr>
          <w:rFonts w:hint="eastAsia"/>
        </w:rPr>
        <w:t>（2）学生高考成绩单;</w:t>
      </w:r>
    </w:p>
    <w:p w14:paraId="7C1E73F3">
      <w:pPr>
        <w:pStyle w:val="5"/>
      </w:pPr>
      <w:r>
        <w:rPr>
          <w:rFonts w:hint="eastAsia"/>
        </w:rPr>
        <w:t>（3）学生所在学院盖章的英语四级笔试成绩单;</w:t>
      </w:r>
    </w:p>
    <w:p w14:paraId="0BC346E3">
      <w:pPr>
        <w:pStyle w:val="5"/>
      </w:pPr>
      <w:r>
        <w:rPr>
          <w:rFonts w:hint="eastAsia"/>
        </w:rPr>
        <w:t>（4）汽车与交通学院202</w:t>
      </w:r>
      <w:r>
        <w:t>5</w:t>
      </w:r>
      <w:r>
        <w:rPr>
          <w:rFonts w:hint="eastAsia"/>
        </w:rPr>
        <w:t>级转专业报名表（P</w:t>
      </w:r>
      <w:r>
        <w:t>DF</w:t>
      </w:r>
      <w:r>
        <w:rPr>
          <w:rFonts w:hint="eastAsia"/>
        </w:rPr>
        <w:t>盖章版和e</w:t>
      </w:r>
      <w:r>
        <w:t>xcel</w:t>
      </w:r>
      <w:r>
        <w:rPr>
          <w:rFonts w:hint="eastAsia"/>
        </w:rPr>
        <w:t>电子版）。报名表见附件。e</w:t>
      </w:r>
      <w:r>
        <w:t>xcel</w:t>
      </w:r>
      <w:r>
        <w:rPr>
          <w:rFonts w:hint="eastAsia"/>
        </w:rPr>
        <w:t>报名表以“汽车与交通学院202</w:t>
      </w:r>
      <w:r>
        <w:t>5</w:t>
      </w:r>
      <w:r>
        <w:rPr>
          <w:rFonts w:hint="eastAsia"/>
        </w:rPr>
        <w:t>级转专业报名表”+“（学生姓名）”格式命名；报名表经学生本人签字，学生所在学院教学办核对无误并加盖学院公章后扫描为</w:t>
      </w:r>
      <w:r>
        <w:t>PDF</w:t>
      </w:r>
      <w:r>
        <w:rPr>
          <w:rFonts w:hint="eastAsia"/>
        </w:rPr>
        <w:t>文件上传。P</w:t>
      </w:r>
      <w:r>
        <w:t>DF</w:t>
      </w:r>
      <w:r>
        <w:rPr>
          <w:rFonts w:hint="eastAsia"/>
        </w:rPr>
        <w:t>文件命名格式同前。</w:t>
      </w:r>
    </w:p>
    <w:p w14:paraId="54FAEF64">
      <w:pPr>
        <w:pStyle w:val="5"/>
      </w:pPr>
      <w:r>
        <w:rPr>
          <w:rFonts w:hint="eastAsia"/>
        </w:rPr>
        <w:t>学生须对提交的材料的真实性负责。发现有弄虚作假的一律报学校严肃处理。</w:t>
      </w:r>
    </w:p>
    <w:p w14:paraId="0BEEEF32">
      <w:pPr>
        <w:pStyle w:val="5"/>
      </w:pPr>
      <w:r>
        <w:rPr>
          <w:rFonts w:hint="eastAsia"/>
        </w:rPr>
        <w:t>2、学院教学办审核学生材料并依据选拔选原则对申请学生进行考核排名；</w:t>
      </w:r>
    </w:p>
    <w:p w14:paraId="685B08FC">
      <w:pPr>
        <w:pStyle w:val="5"/>
      </w:pPr>
      <w:r>
        <w:rPr>
          <w:rFonts w:hint="eastAsia"/>
        </w:rPr>
        <w:t>3、转专业工作考核小组审定考核排名结果并确定拟接收学生名单。考核结果报学院党政联席会；</w:t>
      </w:r>
    </w:p>
    <w:p w14:paraId="19F56E24">
      <w:pPr>
        <w:pStyle w:val="5"/>
      </w:pPr>
      <w:r>
        <w:t>4</w:t>
      </w:r>
      <w:r>
        <w:rPr>
          <w:rFonts w:hint="eastAsia"/>
        </w:rPr>
        <w:t>、学院党政联席会审定各专业拟录取学生名单。</w:t>
      </w:r>
    </w:p>
    <w:p w14:paraId="211EB4C8">
      <w:pPr>
        <w:pStyle w:val="5"/>
        <w:numPr>
          <w:ilvl w:val="0"/>
          <w:numId w:val="1"/>
        </w:numPr>
        <w:ind w:hanging="713"/>
        <w:rPr>
          <w:rFonts w:ascii="黑体" w:hAnsi="黑体" w:eastAsia="黑体"/>
        </w:rPr>
      </w:pPr>
      <w:r>
        <w:rPr>
          <w:rFonts w:hint="eastAsia" w:ascii="黑体" w:hAnsi="黑体" w:eastAsia="黑体"/>
        </w:rPr>
        <w:t>选拔原则</w:t>
      </w:r>
    </w:p>
    <w:p w14:paraId="691E830A">
      <w:pPr>
        <w:pStyle w:val="5"/>
      </w:pPr>
      <w:r>
        <w:rPr>
          <w:rFonts w:hint="eastAsia"/>
        </w:rPr>
        <w:t>1</w:t>
      </w:r>
      <w:r>
        <w:t>.</w:t>
      </w:r>
      <w:r>
        <w:rPr>
          <w:rFonts w:hint="eastAsia"/>
        </w:rPr>
        <w:t>对符合转入条件的学生，首先在第一志愿报名转入的各专业学生名单范围内，按照学生平均学分绩点（即教务处在教务系统历年成绩排名统计中的加权绩点），分别按拟转入专业在接收计划人数内从高到低选拔。平均学分绩点相同者，依据学生平均学分绩点年级专业排名百分比（即教务处在教务系统历年成绩排名统计中的加权绩点排名百分比）数字从小到大排序。若，排名百分比也相同，则按照高等数学或微积分、大学英语2门课程总分从高到低排序；若仍相同，则按高等数学或微积分单科成绩从高到低排序；若仍相同，按大学英语单科成绩从高到低排序。若无高等数学或微积分类课程，则以高考数学成绩按百分制折算后代替。</w:t>
      </w:r>
      <w:bookmarkStart w:id="1" w:name="_GoBack"/>
      <w:bookmarkEnd w:id="1"/>
      <w:r>
        <w:rPr>
          <w:rFonts w:hint="eastAsia"/>
        </w:rPr>
        <w:t>符合条件的第一志愿选拔完后，若该专业计划接收人数有剩余，则在该范围内，按照上述方法对符合条件的，将该专业作为转专业第二志愿报名的学生依次进行排序选拔。</w:t>
      </w:r>
    </w:p>
    <w:p w14:paraId="5295F531">
      <w:pPr>
        <w:pStyle w:val="5"/>
        <w:ind w:firstLine="562"/>
      </w:pPr>
      <w:r>
        <w:rPr>
          <w:rFonts w:hint="eastAsia"/>
        </w:rPr>
        <w:t>注：平均学分绩点和排名百分比依据学校教务系统计算数据，取2位小数。</w:t>
      </w:r>
    </w:p>
    <w:p w14:paraId="5DEC3B7B">
      <w:pPr>
        <w:pStyle w:val="5"/>
      </w:pPr>
      <w:r>
        <w:t>2.</w:t>
      </w:r>
      <w:r>
        <w:rPr>
          <w:rFonts w:hint="eastAsia"/>
        </w:rPr>
        <w:t>各专业拟接收计划指标不调剂。</w:t>
      </w:r>
    </w:p>
    <w:p w14:paraId="4AB2BFFD">
      <w:pPr>
        <w:pStyle w:val="5"/>
      </w:pPr>
      <w:r>
        <w:t>3.</w:t>
      </w:r>
      <w:r>
        <w:rPr>
          <w:rFonts w:hint="eastAsia"/>
        </w:rPr>
        <w:t>接收计划中拟接收人数含学业类和学科专长类、特殊困难类、社会需求类等非学业类转专业人数。学院首先考核和接收学业类转专业学生。在学业类转专业接收计划未用完的情况下，对符合申请条件的学科专长类、特殊困难类、社会需求类转专业学生，由考核小组报学院党政联席会研究决定是否接收。</w:t>
      </w:r>
    </w:p>
    <w:p w14:paraId="467C32BD">
      <w:pPr>
        <w:pStyle w:val="5"/>
        <w:ind w:firstLineChars="200"/>
      </w:pPr>
      <w:r>
        <w:t>4</w:t>
      </w:r>
      <w:r>
        <w:rPr>
          <w:rFonts w:hint="eastAsia"/>
        </w:rPr>
        <w:t>．各类转专业考核排序结果由转专业工作考核小组确定后报学院党政联席会，由学院党政联席会研究和审定最终录取结果。</w:t>
      </w:r>
    </w:p>
    <w:p w14:paraId="3753C4C4">
      <w:pPr>
        <w:pStyle w:val="5"/>
        <w:numPr>
          <w:ilvl w:val="0"/>
          <w:numId w:val="1"/>
        </w:numPr>
        <w:ind w:hanging="713"/>
        <w:rPr>
          <w:rFonts w:ascii="黑体" w:hAnsi="黑体" w:eastAsia="黑体"/>
        </w:rPr>
      </w:pPr>
      <w:r>
        <w:rPr>
          <w:rFonts w:hint="eastAsia" w:ascii="黑体" w:hAnsi="黑体" w:eastAsia="黑体"/>
        </w:rPr>
        <w:t>学院公示</w:t>
      </w:r>
    </w:p>
    <w:p w14:paraId="3E21F5F0">
      <w:pPr>
        <w:pStyle w:val="5"/>
      </w:pPr>
      <w:r>
        <w:rPr>
          <w:rFonts w:hint="eastAsia"/>
        </w:rPr>
        <w:t>拟录取名单在学院网站</w:t>
      </w:r>
      <w:r>
        <w:fldChar w:fldCharType="begin"/>
      </w:r>
      <w:r>
        <w:instrText xml:space="preserve"> HYPERLINK "http://qc.xhu.edu.cn/" </w:instrText>
      </w:r>
      <w:r>
        <w:fldChar w:fldCharType="separate"/>
      </w:r>
      <w:r>
        <w:t>http://qc.xhu.edu.cn/</w:t>
      </w:r>
      <w:r>
        <w:fldChar w:fldCharType="end"/>
      </w:r>
      <w:r>
        <w:rPr>
          <w:rFonts w:hint="eastAsia"/>
        </w:rPr>
        <w:t>公示，公示时间为</w:t>
      </w:r>
      <w:r>
        <w:t>5个工作日。公示期内自愿放弃转专业的，</w:t>
      </w:r>
      <w:r>
        <w:rPr>
          <w:rFonts w:hint="eastAsia"/>
        </w:rPr>
        <w:t>学院可根据所报方案依次进行补录。经学院公示无异议后，拟录取学生名单报教务处。</w:t>
      </w:r>
    </w:p>
    <w:p w14:paraId="62C42F36">
      <w:pPr>
        <w:pStyle w:val="5"/>
        <w:numPr>
          <w:ilvl w:val="0"/>
          <w:numId w:val="1"/>
        </w:numPr>
        <w:ind w:hanging="713"/>
        <w:rPr>
          <w:rFonts w:ascii="黑体" w:hAnsi="黑体" w:eastAsia="黑体"/>
        </w:rPr>
      </w:pPr>
      <w:r>
        <w:rPr>
          <w:rFonts w:hint="eastAsia" w:ascii="黑体" w:hAnsi="黑体" w:eastAsia="黑体"/>
        </w:rPr>
        <w:t>异议处理方式</w:t>
      </w:r>
    </w:p>
    <w:p w14:paraId="4E2362E0">
      <w:pPr>
        <w:pStyle w:val="5"/>
      </w:pPr>
      <w:r>
        <w:rPr>
          <w:rFonts w:hint="eastAsia"/>
        </w:rPr>
        <w:t>若有关单位或个人对于公示结果存在异议，可在公示期内向汽车与交通学院转专业工作考核小组提出申诉。工作小组联系人及电话：程老师（028-8772</w:t>
      </w:r>
      <w:r>
        <w:t>0770</w:t>
      </w:r>
      <w:r>
        <w:rPr>
          <w:rFonts w:hint="eastAsia"/>
        </w:rPr>
        <w:t>）。工作考核小组将对提出的异议进行调查核实，并将调查核实结果反馈给申述人。</w:t>
      </w:r>
    </w:p>
    <w:p w14:paraId="6C8E5C0C">
      <w:pPr>
        <w:pStyle w:val="5"/>
        <w:numPr>
          <w:ilvl w:val="0"/>
          <w:numId w:val="1"/>
        </w:numPr>
        <w:ind w:hanging="713"/>
        <w:rPr>
          <w:rFonts w:ascii="黑体" w:hAnsi="黑体" w:eastAsia="黑体"/>
        </w:rPr>
      </w:pPr>
      <w:r>
        <w:rPr>
          <w:rFonts w:hint="eastAsia" w:ascii="黑体" w:hAnsi="黑体" w:eastAsia="黑体"/>
        </w:rPr>
        <w:t>其他</w:t>
      </w:r>
    </w:p>
    <w:p w14:paraId="59B2E1C2">
      <w:pPr>
        <w:pStyle w:val="5"/>
      </w:pPr>
      <w:r>
        <w:rPr>
          <w:rFonts w:hint="eastAsia"/>
        </w:rPr>
        <w:t>1.本方案由汽车与交通学院转专业工作考核小组负责解释。特殊情况或未尽事宜，由考核小组报学院党政联席会研究决定。</w:t>
      </w:r>
    </w:p>
    <w:p w14:paraId="6C4B1BAC">
      <w:pPr>
        <w:pStyle w:val="5"/>
      </w:pPr>
      <w:r>
        <w:rPr>
          <w:rFonts w:hint="eastAsia"/>
        </w:rPr>
        <w:t>2.本方案依据《西华大学全日制本科学生转专业管理办法（修订）》制定并执行，如有不一致，按学校文件执行。</w:t>
      </w:r>
    </w:p>
    <w:p w14:paraId="350B1FC1">
      <w:pPr>
        <w:pStyle w:val="5"/>
      </w:pPr>
      <w:r>
        <w:rPr>
          <w:rFonts w:hint="eastAsia"/>
        </w:rPr>
        <w:t>附件：汽车与交通学院2025级转专业报名表</w:t>
      </w:r>
    </w:p>
    <w:p w14:paraId="1DAA7AA9">
      <w:pPr>
        <w:pStyle w:val="5"/>
        <w:ind w:left="6160" w:firstLine="0"/>
      </w:pPr>
      <w:r>
        <w:rPr>
          <w:rFonts w:hint="eastAsia"/>
        </w:rPr>
        <w:t>汽车与交通学院</w:t>
      </w:r>
    </w:p>
    <w:p w14:paraId="2600E53C">
      <w:pPr>
        <w:pStyle w:val="5"/>
        <w:ind w:left="5600"/>
      </w:pPr>
      <w:r>
        <w:t>2026年4月7日</w:t>
      </w:r>
    </w:p>
    <w:sectPr>
      <w:footerReference r:id="rId3" w:type="default"/>
      <w:pgSz w:w="11906" w:h="16838"/>
      <w:pgMar w:top="1418" w:right="1418"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3AD96D-9D77-43FA-A0BF-343CCAAC29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D2941EF7-E2A1-4A15-8E28-D6777009E6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6869185"/>
      <w:docPartObj>
        <w:docPartGallery w:val="AutoText"/>
      </w:docPartObj>
    </w:sdtPr>
    <w:sdtContent>
      <w:sdt>
        <w:sdtPr>
          <w:id w:val="1728636285"/>
          <w:docPartObj>
            <w:docPartGallery w:val="AutoText"/>
          </w:docPartObj>
        </w:sdtPr>
        <w:sdtContent>
          <w:p w14:paraId="74A945E3">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56C73EA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277486"/>
    <w:multiLevelType w:val="multilevel"/>
    <w:tmpl w:val="2D277486"/>
    <w:lvl w:ilvl="0" w:tentative="0">
      <w:start w:val="1"/>
      <w:numFmt w:val="japaneseCounting"/>
      <w:lvlText w:val="%1、"/>
      <w:lvlJc w:val="left"/>
      <w:pPr>
        <w:ind w:left="1280" w:hanging="720"/>
      </w:pPr>
      <w:rPr>
        <w:rFonts w:hint="default"/>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79D94B96"/>
    <w:multiLevelType w:val="multilevel"/>
    <w:tmpl w:val="79D94B96"/>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iOGRjN2EwZWZjYWZlODVmM2ExMWI0ZWI2MmI1N2QifQ=="/>
  </w:docVars>
  <w:rsids>
    <w:rsidRoot w:val="25EE061D"/>
    <w:rsid w:val="00030F30"/>
    <w:rsid w:val="000368D1"/>
    <w:rsid w:val="000437CB"/>
    <w:rsid w:val="0004774D"/>
    <w:rsid w:val="00072220"/>
    <w:rsid w:val="0009013A"/>
    <w:rsid w:val="00093873"/>
    <w:rsid w:val="000C3FA5"/>
    <w:rsid w:val="000C4CCE"/>
    <w:rsid w:val="000E4AD1"/>
    <w:rsid w:val="000F10B5"/>
    <w:rsid w:val="00113424"/>
    <w:rsid w:val="00132B28"/>
    <w:rsid w:val="00133E13"/>
    <w:rsid w:val="0013733F"/>
    <w:rsid w:val="00143B66"/>
    <w:rsid w:val="00161681"/>
    <w:rsid w:val="00170E0E"/>
    <w:rsid w:val="0017353C"/>
    <w:rsid w:val="001832B9"/>
    <w:rsid w:val="001952A6"/>
    <w:rsid w:val="001E000B"/>
    <w:rsid w:val="001E53C1"/>
    <w:rsid w:val="001F77EC"/>
    <w:rsid w:val="002015A1"/>
    <w:rsid w:val="002559CD"/>
    <w:rsid w:val="00275E60"/>
    <w:rsid w:val="002C1181"/>
    <w:rsid w:val="002D7AA3"/>
    <w:rsid w:val="002F7999"/>
    <w:rsid w:val="003430F8"/>
    <w:rsid w:val="00346A2E"/>
    <w:rsid w:val="00346C85"/>
    <w:rsid w:val="00353DB3"/>
    <w:rsid w:val="003554FD"/>
    <w:rsid w:val="003559B2"/>
    <w:rsid w:val="00357E2D"/>
    <w:rsid w:val="003826E0"/>
    <w:rsid w:val="003E6D5C"/>
    <w:rsid w:val="00405E92"/>
    <w:rsid w:val="00417302"/>
    <w:rsid w:val="004308CA"/>
    <w:rsid w:val="00434B56"/>
    <w:rsid w:val="00472E03"/>
    <w:rsid w:val="00492EAB"/>
    <w:rsid w:val="004A1E51"/>
    <w:rsid w:val="004E4B07"/>
    <w:rsid w:val="004F4CC9"/>
    <w:rsid w:val="00515960"/>
    <w:rsid w:val="00527982"/>
    <w:rsid w:val="00563F90"/>
    <w:rsid w:val="00567A34"/>
    <w:rsid w:val="00581586"/>
    <w:rsid w:val="00594DCD"/>
    <w:rsid w:val="005A7369"/>
    <w:rsid w:val="005B0666"/>
    <w:rsid w:val="005B40DE"/>
    <w:rsid w:val="005E4C84"/>
    <w:rsid w:val="00605816"/>
    <w:rsid w:val="00660F84"/>
    <w:rsid w:val="00670C59"/>
    <w:rsid w:val="00671435"/>
    <w:rsid w:val="00683127"/>
    <w:rsid w:val="006B75B0"/>
    <w:rsid w:val="006D6236"/>
    <w:rsid w:val="006E0BD3"/>
    <w:rsid w:val="006E3985"/>
    <w:rsid w:val="006F30CB"/>
    <w:rsid w:val="007A30AE"/>
    <w:rsid w:val="007A48CD"/>
    <w:rsid w:val="007C4A8D"/>
    <w:rsid w:val="008005C7"/>
    <w:rsid w:val="00830824"/>
    <w:rsid w:val="0084184D"/>
    <w:rsid w:val="008971CE"/>
    <w:rsid w:val="008D1746"/>
    <w:rsid w:val="008E5B3B"/>
    <w:rsid w:val="008E7878"/>
    <w:rsid w:val="00912A9A"/>
    <w:rsid w:val="009164E8"/>
    <w:rsid w:val="00943412"/>
    <w:rsid w:val="00987845"/>
    <w:rsid w:val="00993513"/>
    <w:rsid w:val="009A5D39"/>
    <w:rsid w:val="009A7CCD"/>
    <w:rsid w:val="009B1F81"/>
    <w:rsid w:val="009F67C1"/>
    <w:rsid w:val="00A15149"/>
    <w:rsid w:val="00A4616F"/>
    <w:rsid w:val="00A54317"/>
    <w:rsid w:val="00A80DF0"/>
    <w:rsid w:val="00A948EF"/>
    <w:rsid w:val="00AB7B4D"/>
    <w:rsid w:val="00AC164E"/>
    <w:rsid w:val="00B44F93"/>
    <w:rsid w:val="00C41551"/>
    <w:rsid w:val="00C53520"/>
    <w:rsid w:val="00C64834"/>
    <w:rsid w:val="00C82C62"/>
    <w:rsid w:val="00C95D9F"/>
    <w:rsid w:val="00CB0CDB"/>
    <w:rsid w:val="00CB3A51"/>
    <w:rsid w:val="00CC3D10"/>
    <w:rsid w:val="00D07B0F"/>
    <w:rsid w:val="00D119A2"/>
    <w:rsid w:val="00D34CC8"/>
    <w:rsid w:val="00D5524D"/>
    <w:rsid w:val="00D5759B"/>
    <w:rsid w:val="00D57D40"/>
    <w:rsid w:val="00D61C28"/>
    <w:rsid w:val="00D6388F"/>
    <w:rsid w:val="00D656B2"/>
    <w:rsid w:val="00D721A9"/>
    <w:rsid w:val="00D72FBB"/>
    <w:rsid w:val="00D76DDE"/>
    <w:rsid w:val="00DF4876"/>
    <w:rsid w:val="00DF7B4A"/>
    <w:rsid w:val="00E16937"/>
    <w:rsid w:val="00E203B6"/>
    <w:rsid w:val="00E72B6B"/>
    <w:rsid w:val="00EA55A4"/>
    <w:rsid w:val="00EA575C"/>
    <w:rsid w:val="00EE43B5"/>
    <w:rsid w:val="00F2012C"/>
    <w:rsid w:val="00F320DC"/>
    <w:rsid w:val="00F55273"/>
    <w:rsid w:val="00F74230"/>
    <w:rsid w:val="00FA41E0"/>
    <w:rsid w:val="00FA5C49"/>
    <w:rsid w:val="00FE6CAB"/>
    <w:rsid w:val="040A0AF7"/>
    <w:rsid w:val="04937B6A"/>
    <w:rsid w:val="0E9A2288"/>
    <w:rsid w:val="0F587009"/>
    <w:rsid w:val="0FF6620C"/>
    <w:rsid w:val="11503F2C"/>
    <w:rsid w:val="14A00781"/>
    <w:rsid w:val="14E632D7"/>
    <w:rsid w:val="156644AF"/>
    <w:rsid w:val="1BF71D06"/>
    <w:rsid w:val="1DD53A7F"/>
    <w:rsid w:val="1F3E7D51"/>
    <w:rsid w:val="1F896D6A"/>
    <w:rsid w:val="254D5EC5"/>
    <w:rsid w:val="25EE061D"/>
    <w:rsid w:val="28B160F3"/>
    <w:rsid w:val="28BE1030"/>
    <w:rsid w:val="29B5690C"/>
    <w:rsid w:val="2B7A47B0"/>
    <w:rsid w:val="2CA568A1"/>
    <w:rsid w:val="2CD63FAE"/>
    <w:rsid w:val="2EAE691A"/>
    <w:rsid w:val="340B3438"/>
    <w:rsid w:val="344C23E9"/>
    <w:rsid w:val="3C1F2C3B"/>
    <w:rsid w:val="3FEE0E58"/>
    <w:rsid w:val="46B345B8"/>
    <w:rsid w:val="46BF4C9C"/>
    <w:rsid w:val="4C2372D4"/>
    <w:rsid w:val="500C3E41"/>
    <w:rsid w:val="54284946"/>
    <w:rsid w:val="58AB4658"/>
    <w:rsid w:val="5A2F38FA"/>
    <w:rsid w:val="60053898"/>
    <w:rsid w:val="624D3512"/>
    <w:rsid w:val="65942D2C"/>
    <w:rsid w:val="692C4A1B"/>
    <w:rsid w:val="70C035D3"/>
    <w:rsid w:val="72AE78CD"/>
    <w:rsid w:val="73060561"/>
    <w:rsid w:val="79843B54"/>
    <w:rsid w:val="7DD36D3D"/>
    <w:rsid w:val="7EA36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4"/>
    <w:uiPriority w:val="0"/>
    <w:pPr>
      <w:ind w:left="100" w:leftChars="2500"/>
    </w:p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hd w:val="clear" w:color="auto" w:fill="FFFFFF"/>
      <w:spacing w:line="500" w:lineRule="exact"/>
      <w:ind w:firstLine="560"/>
    </w:pPr>
    <w:rPr>
      <w:rFonts w:ascii="仿宋" w:hAnsi="仿宋" w:eastAsia="仿宋" w:cs="仿宋"/>
      <w:color w:val="000000" w:themeColor="text1"/>
      <w:sz w:val="28"/>
      <w:szCs w:val="28"/>
      <w14:textFill>
        <w14:solidFill>
          <w14:schemeClr w14:val="tx1"/>
        </w14:solidFill>
      </w14:textFill>
    </w:rPr>
  </w:style>
  <w:style w:type="table" w:styleId="7">
    <w:name w:val="Table Grid"/>
    <w:basedOn w:val="6"/>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autoRedefine/>
    <w:qFormat/>
    <w:uiPriority w:val="0"/>
    <w:rPr>
      <w:b/>
    </w:rPr>
  </w:style>
  <w:style w:type="character" w:styleId="10">
    <w:name w:val="Hyperlink"/>
    <w:basedOn w:val="8"/>
    <w:unhideWhenUsed/>
    <w:uiPriority w:val="99"/>
    <w:rPr>
      <w:color w:val="0026E5" w:themeColor="hyperlink"/>
      <w:u w:val="single"/>
      <w14:textFill>
        <w14:solidFill>
          <w14:schemeClr w14:val="hlink"/>
        </w14:solidFill>
      </w14:textFill>
    </w:rPr>
  </w:style>
  <w:style w:type="character" w:customStyle="1" w:styleId="11">
    <w:name w:val="页眉 字符"/>
    <w:basedOn w:val="8"/>
    <w:link w:val="4"/>
    <w:uiPriority w:val="99"/>
    <w:rPr>
      <w:rFonts w:asciiTheme="minorHAnsi" w:hAnsiTheme="minorHAnsi" w:eastAsiaTheme="minorEastAsia" w:cstheme="minorBidi"/>
      <w:kern w:val="2"/>
      <w:sz w:val="18"/>
      <w:szCs w:val="18"/>
    </w:rPr>
  </w:style>
  <w:style w:type="character" w:customStyle="1" w:styleId="12">
    <w:name w:val="页脚 字符"/>
    <w:basedOn w:val="8"/>
    <w:link w:val="3"/>
    <w:uiPriority w:val="99"/>
    <w:rPr>
      <w:rFonts w:asciiTheme="minorHAnsi" w:hAnsiTheme="minorHAnsi" w:eastAsiaTheme="minorEastAsia" w:cstheme="minorBidi"/>
      <w:kern w:val="2"/>
      <w:sz w:val="18"/>
      <w:szCs w:val="18"/>
    </w:rPr>
  </w:style>
  <w:style w:type="paragraph" w:customStyle="1" w:styleId="13">
    <w:name w:val="Revision"/>
    <w:hidden/>
    <w:semiHidden/>
    <w:uiPriority w:val="99"/>
    <w:rPr>
      <w:rFonts w:asciiTheme="minorHAnsi" w:hAnsiTheme="minorHAnsi" w:eastAsiaTheme="minorEastAsia" w:cstheme="minorBidi"/>
      <w:kern w:val="2"/>
      <w:sz w:val="21"/>
      <w:szCs w:val="24"/>
      <w:lang w:val="en-US" w:eastAsia="zh-CN" w:bidi="ar-SA"/>
    </w:rPr>
  </w:style>
  <w:style w:type="character" w:customStyle="1" w:styleId="14">
    <w:name w:val="日期 字符"/>
    <w:basedOn w:val="8"/>
    <w:link w:val="2"/>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99677-5ED2-41D7-B630-497E38C207C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2136</Words>
  <Characters>2258</Characters>
  <Lines>16</Lines>
  <Paragraphs>4</Paragraphs>
  <TotalTime>84</TotalTime>
  <ScaleCrop>false</ScaleCrop>
  <LinksUpToDate>false</LinksUpToDate>
  <CharactersWithSpaces>2266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2026-04-24T03:32:00Z</dcterms:created>
  <dc:creator>庄发文</dc:creator>
  <cp:lastModifiedBy>seafs</cp:lastModifiedBy>
  <cp:lastPrinted>2025-03-31T03:04:00Z</cp:lastPrinted>
  <dcterms:modified xsi:type="dcterms:W3CDTF">2026-04-27T02:36:49Z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C06D8690E4144A7AAF2553522BC44DA7_13</vt:lpwstr>
  </property>
  <property fmtid="{D5CDD505-2E9C-101B-9397-08002B2CF9AE}" pid="4" name="KSOTemplateDocerSaveRecord">
    <vt:lpwstr>eyJoZGlkIjoiYzRhY2E2OTBlNDk5NzgyOTEyNmU2MTg2N2ZlNzE5YjkiLCJ1c2VySWQiOiIxNDc1NTMxOTQyIn0=</vt:lpwstr>
  </property>
</Properties>
</file>