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BCCB40">
      <w:pPr>
        <w:pStyle w:val="3"/>
        <w:spacing w:before="0" w:beforeAutospacing="0" w:after="0" w:afterAutospacing="0" w:line="800" w:lineRule="exact"/>
        <w:jc w:val="center"/>
        <w:rPr>
          <w:rFonts w:ascii="方正小标宋简体" w:hAnsi="方正小标宋简体" w:eastAsia="方正小标宋简体" w:cs="方正小标宋简体"/>
          <w:b w:val="0"/>
          <w:bCs w:val="0"/>
          <w:sz w:val="34"/>
          <w:szCs w:val="34"/>
        </w:rPr>
      </w:pPr>
      <w:r>
        <w:rPr>
          <w:rFonts w:hint="eastAsia" w:ascii="方正小标宋简体" w:hAnsi="方正小标宋简体" w:eastAsia="方正小标宋简体" w:cs="方正小标宋简体"/>
          <w:b w:val="0"/>
          <w:bCs w:val="0"/>
          <w:sz w:val="34"/>
          <w:szCs w:val="34"/>
        </w:rPr>
        <w:t>机械工程学院2025级本科生转专业工作实施细则</w:t>
      </w:r>
    </w:p>
    <w:p w14:paraId="26ADD36C">
      <w:pPr>
        <w:pStyle w:val="4"/>
        <w:ind w:firstLine="680"/>
        <w:rPr>
          <w:sz w:val="34"/>
          <w:szCs w:val="34"/>
        </w:rPr>
      </w:pPr>
    </w:p>
    <w:p w14:paraId="0434898B">
      <w:pPr>
        <w:pStyle w:val="4"/>
        <w:ind w:firstLine="680"/>
        <w:rPr>
          <w:sz w:val="34"/>
          <w:szCs w:val="34"/>
        </w:rPr>
      </w:pPr>
      <w:r>
        <w:rPr>
          <w:rFonts w:hint="eastAsia"/>
          <w:sz w:val="34"/>
          <w:szCs w:val="34"/>
        </w:rPr>
        <w:t>根据《西华大学全日制本科学生转专业管理办法（修订）》的规定和《关于开展2025级本科生转专业工作的通知》要求，学院转专业工作考核小组研究决定，特制定本学院本科生转专业工作实施细则。</w:t>
      </w:r>
    </w:p>
    <w:p w14:paraId="497D3530">
      <w:pPr>
        <w:pStyle w:val="4"/>
        <w:spacing w:before="0" w:beforeLines="0" w:line="560" w:lineRule="exact"/>
        <w:ind w:firstLine="681"/>
        <w:rPr>
          <w:rFonts w:ascii="方正公文楷体" w:hAnsi="方正公文楷体" w:eastAsia="方正公文楷体" w:cs="方正公文楷体"/>
          <w:b/>
          <w:bCs/>
          <w:sz w:val="34"/>
          <w:szCs w:val="34"/>
        </w:rPr>
      </w:pPr>
      <w:r>
        <w:rPr>
          <w:rFonts w:hint="eastAsia" w:ascii="方正公文楷体" w:hAnsi="方正公文楷体" w:eastAsia="方正公文楷体" w:cs="方正公文楷体"/>
          <w:b/>
          <w:bCs/>
          <w:sz w:val="34"/>
          <w:szCs w:val="34"/>
        </w:rPr>
        <w:t>一、接收计划</w:t>
      </w:r>
    </w:p>
    <w:tbl>
      <w:tblPr>
        <w:tblStyle w:val="6"/>
        <w:tblW w:w="85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9"/>
        <w:gridCol w:w="1804"/>
        <w:gridCol w:w="1200"/>
        <w:gridCol w:w="2845"/>
        <w:gridCol w:w="1761"/>
      </w:tblGrid>
      <w:tr w14:paraId="7195D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899" w:type="dxa"/>
            <w:vAlign w:val="center"/>
          </w:tcPr>
          <w:p w14:paraId="6DE0E26D">
            <w:pPr>
              <w:pStyle w:val="4"/>
              <w:snapToGrid w:val="0"/>
              <w:ind w:firstLine="0" w:firstLineChars="0"/>
              <w:jc w:val="center"/>
              <w:rPr>
                <w:sz w:val="24"/>
                <w:szCs w:val="24"/>
              </w:rPr>
            </w:pPr>
            <w:r>
              <w:rPr>
                <w:rFonts w:hint="eastAsia"/>
                <w:sz w:val="24"/>
                <w:szCs w:val="24"/>
              </w:rPr>
              <w:t>年级</w:t>
            </w:r>
          </w:p>
        </w:tc>
        <w:tc>
          <w:tcPr>
            <w:tcW w:w="1804" w:type="dxa"/>
            <w:vAlign w:val="center"/>
          </w:tcPr>
          <w:p w14:paraId="24ED2B5E">
            <w:pPr>
              <w:pStyle w:val="4"/>
              <w:snapToGrid w:val="0"/>
              <w:ind w:firstLine="0" w:firstLineChars="0"/>
              <w:jc w:val="center"/>
              <w:rPr>
                <w:sz w:val="24"/>
                <w:szCs w:val="24"/>
              </w:rPr>
            </w:pPr>
            <w:r>
              <w:rPr>
                <w:rFonts w:hint="eastAsia"/>
                <w:sz w:val="24"/>
                <w:szCs w:val="24"/>
              </w:rPr>
              <w:t>专  业</w:t>
            </w:r>
          </w:p>
        </w:tc>
        <w:tc>
          <w:tcPr>
            <w:tcW w:w="1200" w:type="dxa"/>
            <w:vAlign w:val="center"/>
          </w:tcPr>
          <w:p w14:paraId="157D2C17">
            <w:pPr>
              <w:pStyle w:val="4"/>
              <w:snapToGrid w:val="0"/>
              <w:ind w:firstLine="0" w:firstLineChars="0"/>
              <w:rPr>
                <w:sz w:val="24"/>
                <w:szCs w:val="24"/>
              </w:rPr>
            </w:pPr>
            <w:r>
              <w:rPr>
                <w:rFonts w:hint="eastAsia"/>
                <w:sz w:val="24"/>
                <w:szCs w:val="24"/>
              </w:rPr>
              <w:t>拟接收学生数上限</w:t>
            </w:r>
          </w:p>
        </w:tc>
        <w:tc>
          <w:tcPr>
            <w:tcW w:w="2845" w:type="dxa"/>
            <w:vAlign w:val="center"/>
          </w:tcPr>
          <w:p w14:paraId="6F150AB5">
            <w:pPr>
              <w:pStyle w:val="4"/>
              <w:snapToGrid w:val="0"/>
              <w:ind w:firstLine="0" w:firstLineChars="0"/>
              <w:rPr>
                <w:sz w:val="24"/>
                <w:szCs w:val="24"/>
              </w:rPr>
            </w:pPr>
            <w:r>
              <w:rPr>
                <w:rFonts w:hint="eastAsia"/>
                <w:sz w:val="24"/>
                <w:szCs w:val="24"/>
              </w:rPr>
              <w:t>拟接收学生数占该专业当级在校生人数百分比</w:t>
            </w:r>
          </w:p>
        </w:tc>
        <w:tc>
          <w:tcPr>
            <w:tcW w:w="1761" w:type="dxa"/>
            <w:vAlign w:val="center"/>
          </w:tcPr>
          <w:p w14:paraId="1B0FF6B7">
            <w:pPr>
              <w:pStyle w:val="4"/>
              <w:snapToGrid w:val="0"/>
              <w:ind w:firstLine="0" w:firstLineChars="0"/>
              <w:rPr>
                <w:sz w:val="24"/>
                <w:szCs w:val="24"/>
              </w:rPr>
            </w:pPr>
            <w:r>
              <w:rPr>
                <w:rFonts w:hint="eastAsia"/>
                <w:sz w:val="24"/>
                <w:szCs w:val="24"/>
              </w:rPr>
              <w:t>专业当级在校生人数</w:t>
            </w:r>
          </w:p>
        </w:tc>
      </w:tr>
      <w:tr w14:paraId="7EBC1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899" w:type="dxa"/>
            <w:vAlign w:val="center"/>
          </w:tcPr>
          <w:p w14:paraId="04721FCC">
            <w:pPr>
              <w:pStyle w:val="4"/>
              <w:snapToGrid w:val="0"/>
              <w:ind w:firstLine="0" w:firstLineChars="0"/>
              <w:jc w:val="center"/>
              <w:rPr>
                <w:sz w:val="24"/>
                <w:szCs w:val="24"/>
              </w:rPr>
            </w:pPr>
            <w:r>
              <w:rPr>
                <w:rFonts w:hint="eastAsia"/>
                <w:sz w:val="24"/>
                <w:szCs w:val="24"/>
              </w:rPr>
              <w:t>2025</w:t>
            </w:r>
          </w:p>
        </w:tc>
        <w:tc>
          <w:tcPr>
            <w:tcW w:w="1804" w:type="dxa"/>
            <w:vAlign w:val="center"/>
          </w:tcPr>
          <w:p w14:paraId="7C213D7B">
            <w:pPr>
              <w:pStyle w:val="4"/>
              <w:snapToGrid w:val="0"/>
              <w:ind w:firstLine="0" w:firstLineChars="0"/>
              <w:jc w:val="center"/>
              <w:rPr>
                <w:sz w:val="24"/>
                <w:szCs w:val="24"/>
              </w:rPr>
            </w:pPr>
            <w:r>
              <w:rPr>
                <w:rFonts w:hint="eastAsia"/>
                <w:sz w:val="24"/>
                <w:szCs w:val="24"/>
              </w:rPr>
              <w:t>机械设计制造及其自动化</w:t>
            </w:r>
          </w:p>
        </w:tc>
        <w:tc>
          <w:tcPr>
            <w:tcW w:w="1200" w:type="dxa"/>
            <w:vAlign w:val="center"/>
          </w:tcPr>
          <w:p w14:paraId="13F35E3C">
            <w:pPr>
              <w:pStyle w:val="4"/>
              <w:snapToGrid w:val="0"/>
              <w:ind w:firstLine="0" w:firstLineChars="0"/>
              <w:jc w:val="center"/>
              <w:rPr>
                <w:sz w:val="24"/>
                <w:szCs w:val="24"/>
              </w:rPr>
            </w:pPr>
            <w:r>
              <w:rPr>
                <w:rFonts w:hint="eastAsia"/>
                <w:sz w:val="24"/>
                <w:szCs w:val="24"/>
              </w:rPr>
              <w:t>24</w:t>
            </w:r>
          </w:p>
        </w:tc>
        <w:tc>
          <w:tcPr>
            <w:tcW w:w="2845" w:type="dxa"/>
            <w:vAlign w:val="center"/>
          </w:tcPr>
          <w:p w14:paraId="3EE7E49D">
            <w:pPr>
              <w:pStyle w:val="4"/>
              <w:snapToGrid w:val="0"/>
              <w:ind w:firstLine="480"/>
              <w:jc w:val="center"/>
              <w:rPr>
                <w:sz w:val="24"/>
                <w:szCs w:val="24"/>
              </w:rPr>
            </w:pPr>
            <w:r>
              <w:rPr>
                <w:sz w:val="24"/>
                <w:szCs w:val="24"/>
              </w:rPr>
              <w:t>15</w:t>
            </w:r>
            <w:r>
              <w:rPr>
                <w:rFonts w:hint="eastAsia"/>
                <w:sz w:val="24"/>
                <w:szCs w:val="24"/>
              </w:rPr>
              <w:t>.</w:t>
            </w:r>
            <w:r>
              <w:rPr>
                <w:sz w:val="24"/>
                <w:szCs w:val="24"/>
              </w:rPr>
              <w:t>00</w:t>
            </w:r>
            <w:r>
              <w:rPr>
                <w:rFonts w:hint="eastAsia"/>
                <w:sz w:val="24"/>
                <w:szCs w:val="24"/>
              </w:rPr>
              <w:t>%</w:t>
            </w:r>
          </w:p>
        </w:tc>
        <w:tc>
          <w:tcPr>
            <w:tcW w:w="1761" w:type="dxa"/>
            <w:vAlign w:val="center"/>
          </w:tcPr>
          <w:p w14:paraId="7DCA1AD4">
            <w:pPr>
              <w:pStyle w:val="4"/>
              <w:snapToGrid w:val="0"/>
              <w:ind w:firstLine="480"/>
              <w:rPr>
                <w:sz w:val="24"/>
                <w:szCs w:val="24"/>
              </w:rPr>
            </w:pPr>
            <w:r>
              <w:rPr>
                <w:rFonts w:hint="eastAsia"/>
                <w:sz w:val="24"/>
                <w:szCs w:val="24"/>
              </w:rPr>
              <w:t>160</w:t>
            </w:r>
          </w:p>
        </w:tc>
      </w:tr>
      <w:tr w14:paraId="4BDF4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9" w:type="dxa"/>
            <w:vAlign w:val="center"/>
          </w:tcPr>
          <w:p w14:paraId="6F7E0BA9">
            <w:pPr>
              <w:pStyle w:val="4"/>
              <w:snapToGrid w:val="0"/>
              <w:ind w:firstLine="0" w:firstLineChars="0"/>
              <w:jc w:val="center"/>
              <w:rPr>
                <w:sz w:val="24"/>
                <w:szCs w:val="24"/>
              </w:rPr>
            </w:pPr>
            <w:r>
              <w:rPr>
                <w:rFonts w:hint="eastAsia"/>
                <w:sz w:val="24"/>
                <w:szCs w:val="24"/>
              </w:rPr>
              <w:t>2025</w:t>
            </w:r>
          </w:p>
        </w:tc>
        <w:tc>
          <w:tcPr>
            <w:tcW w:w="1804" w:type="dxa"/>
            <w:vAlign w:val="center"/>
          </w:tcPr>
          <w:p w14:paraId="61E742DF">
            <w:pPr>
              <w:pStyle w:val="4"/>
              <w:snapToGrid w:val="0"/>
              <w:ind w:firstLine="0" w:firstLineChars="0"/>
              <w:jc w:val="center"/>
              <w:rPr>
                <w:sz w:val="24"/>
                <w:szCs w:val="24"/>
              </w:rPr>
            </w:pPr>
            <w:r>
              <w:rPr>
                <w:rFonts w:hint="eastAsia"/>
                <w:sz w:val="24"/>
                <w:szCs w:val="24"/>
              </w:rPr>
              <w:t>机械电子工程</w:t>
            </w:r>
          </w:p>
        </w:tc>
        <w:tc>
          <w:tcPr>
            <w:tcW w:w="1200" w:type="dxa"/>
            <w:vAlign w:val="center"/>
          </w:tcPr>
          <w:p w14:paraId="11181FB9">
            <w:pPr>
              <w:pStyle w:val="4"/>
              <w:snapToGrid w:val="0"/>
              <w:ind w:firstLine="0" w:firstLineChars="0"/>
              <w:jc w:val="center"/>
              <w:rPr>
                <w:sz w:val="24"/>
                <w:szCs w:val="24"/>
              </w:rPr>
            </w:pPr>
            <w:r>
              <w:rPr>
                <w:rFonts w:hint="eastAsia"/>
                <w:sz w:val="24"/>
                <w:szCs w:val="24"/>
              </w:rPr>
              <w:t>21</w:t>
            </w:r>
          </w:p>
        </w:tc>
        <w:tc>
          <w:tcPr>
            <w:tcW w:w="2845" w:type="dxa"/>
            <w:vAlign w:val="center"/>
          </w:tcPr>
          <w:p w14:paraId="6BA4DA8F">
            <w:pPr>
              <w:pStyle w:val="4"/>
              <w:snapToGrid w:val="0"/>
              <w:ind w:firstLine="480"/>
              <w:jc w:val="center"/>
              <w:rPr>
                <w:sz w:val="24"/>
                <w:szCs w:val="24"/>
              </w:rPr>
            </w:pPr>
            <w:r>
              <w:rPr>
                <w:sz w:val="24"/>
                <w:szCs w:val="24"/>
              </w:rPr>
              <w:t>15</w:t>
            </w:r>
            <w:r>
              <w:rPr>
                <w:rFonts w:hint="eastAsia"/>
                <w:sz w:val="24"/>
                <w:szCs w:val="24"/>
              </w:rPr>
              <w:t>.00%</w:t>
            </w:r>
          </w:p>
        </w:tc>
        <w:tc>
          <w:tcPr>
            <w:tcW w:w="1761" w:type="dxa"/>
            <w:vAlign w:val="center"/>
          </w:tcPr>
          <w:p w14:paraId="4CB3DB1C">
            <w:pPr>
              <w:pStyle w:val="4"/>
              <w:snapToGrid w:val="0"/>
              <w:ind w:firstLine="480"/>
              <w:rPr>
                <w:sz w:val="24"/>
                <w:szCs w:val="24"/>
              </w:rPr>
            </w:pPr>
            <w:r>
              <w:rPr>
                <w:rFonts w:hint="eastAsia"/>
                <w:sz w:val="24"/>
                <w:szCs w:val="24"/>
              </w:rPr>
              <w:t>142</w:t>
            </w:r>
          </w:p>
        </w:tc>
      </w:tr>
    </w:tbl>
    <w:p w14:paraId="0C999FA2">
      <w:pPr>
        <w:pStyle w:val="4"/>
        <w:spacing w:before="0" w:beforeLines="0" w:line="560" w:lineRule="exact"/>
        <w:ind w:firstLine="681"/>
        <w:rPr>
          <w:rFonts w:ascii="方正公文楷体" w:hAnsi="方正公文楷体" w:eastAsia="方正公文楷体" w:cs="方正公文楷体"/>
          <w:b/>
          <w:bCs/>
          <w:sz w:val="34"/>
          <w:szCs w:val="34"/>
        </w:rPr>
      </w:pPr>
      <w:r>
        <w:rPr>
          <w:rFonts w:hint="eastAsia" w:ascii="方正公文楷体" w:hAnsi="方正公文楷体" w:eastAsia="方正公文楷体" w:cs="方正公文楷体"/>
          <w:b/>
          <w:bCs/>
          <w:sz w:val="34"/>
          <w:szCs w:val="34"/>
        </w:rPr>
        <w:t>二、申请条件</w:t>
      </w:r>
    </w:p>
    <w:p w14:paraId="3A0B71B2">
      <w:pPr>
        <w:pStyle w:val="4"/>
        <w:spacing w:before="0" w:beforeLines="0" w:line="560" w:lineRule="exact"/>
        <w:ind w:firstLine="683"/>
        <w:rPr>
          <w:rFonts w:ascii="方正仿宋_GB2312" w:hAnsi="方正仿宋_GB2312" w:eastAsia="方正仿宋_GB2312" w:cs="方正仿宋_GB2312"/>
          <w:b/>
          <w:bCs/>
          <w:sz w:val="34"/>
          <w:szCs w:val="34"/>
        </w:rPr>
      </w:pPr>
      <w:r>
        <w:rPr>
          <w:rFonts w:hint="eastAsia" w:ascii="方正仿宋_GB2312" w:hAnsi="方正仿宋_GB2312" w:eastAsia="方正仿宋_GB2312" w:cs="方正仿宋_GB2312"/>
          <w:b/>
          <w:bCs/>
          <w:sz w:val="34"/>
          <w:szCs w:val="34"/>
        </w:rPr>
        <w:t>（一）转出申请条件</w:t>
      </w:r>
    </w:p>
    <w:p w14:paraId="57758DF5">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学生入学后，应在被录取的专业完成学业。学生有下列情况之一者，可以申请转专业。</w:t>
      </w:r>
    </w:p>
    <w:p w14:paraId="707E4EB7">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1.学业类</w:t>
      </w:r>
    </w:p>
    <w:p w14:paraId="6066EF5F">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（1）学生申请转出时，须满足下列基本条件：</w:t>
      </w:r>
    </w:p>
    <w:p w14:paraId="613D88B0">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①道德品质良好，在校期间无任何违规违纪违法记录；</w:t>
      </w:r>
    </w:p>
    <w:p w14:paraId="162A556E">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②已修完录取专业人才培养方案建议修读学期规定的必修课程，且所修课程成绩全部合格，所修课程加权平均学分绩点在本年级本专业在籍在校前30%（含）以内。</w:t>
      </w:r>
    </w:p>
    <w:p w14:paraId="36236496">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（2）学业类转专业在第二学期进行，转入人数不超过接收专业当级在校生人数的15%（含）。</w:t>
      </w:r>
    </w:p>
    <w:p w14:paraId="395A55BA">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2.学科专长类</w:t>
      </w:r>
    </w:p>
    <w:p w14:paraId="4A016FA3">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学生以西华大学为第一署名单位在拟转入学科专业方面取得的下列成果之一者：</w:t>
      </w:r>
    </w:p>
    <w:p w14:paraId="3377071C">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（1）在该学科专业领域学术期刊以第一作者发表 CSSCI 期刊、北大中文核心期刊或 CSCD 期刊正刊及以上论文的；</w:t>
      </w:r>
    </w:p>
    <w:p w14:paraId="2EE03046">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（2）以第一发明人获得发明专利授权的；</w:t>
      </w:r>
    </w:p>
    <w:p w14:paraId="1DA23EA4">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（3）以第一获奖人获得全国普通高校大学生竞赛排行榜内竞赛项目省级一等及以上奖项的。</w:t>
      </w:r>
    </w:p>
    <w:p w14:paraId="63833CE1">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3.特殊困难类</w:t>
      </w:r>
    </w:p>
    <w:p w14:paraId="46AECC3E">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入学后，经学校认可的二级甲等以上医院诊断证明存在某种疾病或生理缺陷，不能在原专业学习，但尚能在本校其他专业学习者。</w:t>
      </w:r>
    </w:p>
    <w:p w14:paraId="7BAEB622">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4.社会需求类</w:t>
      </w:r>
    </w:p>
    <w:p w14:paraId="17460AFF">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 xml:space="preserve">学校根据社会对人才需求的发展变化适当调整专业时，允许在读学生转到其他相关专业就读者。 </w:t>
      </w:r>
    </w:p>
    <w:p w14:paraId="19390032">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5.复学类</w:t>
      </w:r>
    </w:p>
    <w:p w14:paraId="0FF3DC85">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（1）学生因休学复学后，其原就读专业因专业设置调整停办的；</w:t>
      </w:r>
    </w:p>
    <w:p w14:paraId="67AF6174">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（2）休学创业复学的学生，确有有效的创业活动和经历，经学校对创业活动和经历审核后可按规定程序申请转入与创业活动经历相关的专业学习；</w:t>
      </w:r>
    </w:p>
    <w:p w14:paraId="2D552620">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（3）退役后（因训练等原因造成伤残，提前退出现役的，需由部队出具认定证明）复学的学生，服役期间政治表现良好，无违规违纪违法行为，可按规定程序申请转专业。</w:t>
      </w:r>
    </w:p>
    <w:p w14:paraId="7A74C055">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6.学生有下列情形之一，不予同意转专业：</w:t>
      </w:r>
    </w:p>
    <w:p w14:paraId="21A6A3F3">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（1）入学未满一学期的；</w:t>
      </w:r>
    </w:p>
    <w:p w14:paraId="66A556E2">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（2）达到试读、退学或取消学籍条件的；</w:t>
      </w:r>
    </w:p>
    <w:p w14:paraId="7BEB8624">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（3）以定向生、高水平运动员等特殊招生形式录取的；</w:t>
      </w:r>
    </w:p>
    <w:p w14:paraId="4A9C12FD">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（4）未经全国统一高考招收的特殊类型学生，含专升本、预科生、第二学士学位等学生。</w:t>
      </w:r>
    </w:p>
    <w:p w14:paraId="5F81325D">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（5）在校期间已转过一次专业的（大类分流、选拔和学校专业调整除外）；</w:t>
      </w:r>
    </w:p>
    <w:p w14:paraId="7338B66B">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（6）高中修读文科或选科历史学生申请转入理工科专业的；</w:t>
      </w:r>
    </w:p>
    <w:p w14:paraId="448DD9A5">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（7）艺体类专业与非艺体类专业申请互转的；</w:t>
      </w:r>
    </w:p>
    <w:p w14:paraId="67DB7BA4">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（8）高考科目不符合转入专业必考科目要求的；</w:t>
      </w:r>
    </w:p>
    <w:p w14:paraId="04FC495A">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（9）三年级及以上的；</w:t>
      </w:r>
    </w:p>
    <w:p w14:paraId="5F7A02E8">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（10）从外校转入的;</w:t>
      </w:r>
    </w:p>
    <w:p w14:paraId="7BFD29C1">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（11）申请时有记过（或者其他相当层次）以上违规违纪处分且未解除的；</w:t>
      </w:r>
    </w:p>
    <w:p w14:paraId="41F24B6D">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（12）教育部或学校有关文件明确规定不可转专业的。</w:t>
      </w:r>
    </w:p>
    <w:p w14:paraId="4B049F93">
      <w:pPr>
        <w:pStyle w:val="4"/>
        <w:spacing w:before="0" w:beforeLines="0" w:line="560" w:lineRule="exact"/>
        <w:ind w:firstLine="683"/>
        <w:rPr>
          <w:rFonts w:ascii="方正仿宋_GB2312" w:hAnsi="方正仿宋_GB2312" w:eastAsia="方正仿宋_GB2312" w:cs="方正仿宋_GB2312"/>
          <w:b/>
          <w:bCs/>
          <w:sz w:val="34"/>
          <w:szCs w:val="34"/>
        </w:rPr>
      </w:pPr>
      <w:r>
        <w:rPr>
          <w:rFonts w:hint="eastAsia" w:ascii="方正仿宋_GB2312" w:hAnsi="方正仿宋_GB2312" w:eastAsia="方正仿宋_GB2312" w:cs="方正仿宋_GB2312"/>
          <w:b/>
          <w:bCs/>
          <w:sz w:val="34"/>
          <w:szCs w:val="34"/>
        </w:rPr>
        <w:t>（二）转入申请条件</w:t>
      </w:r>
    </w:p>
    <w:p w14:paraId="1352ECCE">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1.学业类</w:t>
      </w:r>
    </w:p>
    <w:p w14:paraId="5A58F61E">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学生申请转入时，须满足下列基本条件：</w:t>
      </w:r>
    </w:p>
    <w:p w14:paraId="43D3A8BE">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（1）符合《西华大学全日制本科学生转专业管理办法（修订）》所规定的转专业类别与资格条件。</w:t>
      </w:r>
    </w:p>
    <w:p w14:paraId="1D4B63A9">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（2）普通高等学校招生全国统一考试选考科目为“物理+化学+其他”。</w:t>
      </w:r>
    </w:p>
    <w:p w14:paraId="0AB0BBB2">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（3）如果已修读或正在修读高等数学、大学物理、制图类三门课程，可将学生编入相同年级学习（已修课程按照学校相关文件规定认定学分）。</w:t>
      </w:r>
    </w:p>
    <w:p w14:paraId="6F496EAE">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（4）如果未修读前述三门课程中任意一门课程，则将学生编入下一年级学习（已修课程按照学校相关文件规定认定学分）。</w:t>
      </w:r>
    </w:p>
    <w:p w14:paraId="3B09F5BC">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（5）现就读专业人才培养方案高等数学类课程正考成绩不得低于85分；如果现就读专业人才培养方案无高等数学类课程，则高考数学成绩不低于125分(满分150分)。</w:t>
      </w:r>
    </w:p>
    <w:p w14:paraId="6CA0EE3D">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（6）大学英语类课程正考成绩不得低于85分，英语四级成绩不低于425分。</w:t>
      </w:r>
    </w:p>
    <w:p w14:paraId="2105F119">
      <w:pPr>
        <w:pStyle w:val="4"/>
        <w:spacing w:before="0" w:beforeLines="0" w:line="560" w:lineRule="exact"/>
        <w:ind w:firstLine="680"/>
        <w:rPr>
          <w:rFonts w:ascii="方正仿宋_GB2312" w:hAnsi="方正仿宋_GB2312" w:eastAsia="方正仿宋_GB2312" w:cs="方正仿宋_GB2312"/>
          <w:color w:val="FF0000"/>
          <w:sz w:val="34"/>
          <w:szCs w:val="34"/>
        </w:rPr>
      </w:pPr>
      <w:r>
        <w:rPr>
          <w:rFonts w:hint="eastAsia" w:ascii="方正仿宋_GB2312" w:hAnsi="方正仿宋_GB2312" w:eastAsia="方正仿宋_GB2312" w:cs="方正仿宋_GB2312"/>
          <w:sz w:val="34"/>
          <w:szCs w:val="34"/>
        </w:rPr>
        <w:t>（7）所修课程加权平均学分绩点在</w:t>
      </w:r>
      <w:r>
        <w:rPr>
          <w:rFonts w:ascii="方正仿宋_GB2312" w:hAnsi="方正仿宋_GB2312" w:eastAsia="方正仿宋_GB2312" w:cs="方正仿宋_GB2312"/>
          <w:sz w:val="34"/>
          <w:szCs w:val="34"/>
        </w:rPr>
        <w:t>3.</w:t>
      </w:r>
      <w:r>
        <w:rPr>
          <w:rFonts w:hint="eastAsia" w:ascii="方正仿宋_GB2312" w:hAnsi="方正仿宋_GB2312" w:eastAsia="方正仿宋_GB2312" w:cs="方正仿宋_GB2312"/>
          <w:sz w:val="34"/>
          <w:szCs w:val="34"/>
          <w:lang w:val="en-US" w:eastAsia="zh-CN"/>
        </w:rPr>
        <w:t>7</w:t>
      </w:r>
      <w:r>
        <w:rPr>
          <w:rFonts w:hint="eastAsia" w:ascii="方正仿宋_GB2312" w:hAnsi="方正仿宋_GB2312" w:eastAsia="方正仿宋_GB2312" w:cs="方正仿宋_GB2312"/>
          <w:sz w:val="34"/>
          <w:szCs w:val="34"/>
        </w:rPr>
        <w:t>以上（含</w:t>
      </w:r>
      <w:r>
        <w:rPr>
          <w:rFonts w:ascii="方正仿宋_GB2312" w:hAnsi="方正仿宋_GB2312" w:eastAsia="方正仿宋_GB2312" w:cs="方正仿宋_GB2312"/>
          <w:sz w:val="34"/>
          <w:szCs w:val="34"/>
        </w:rPr>
        <w:t>3.</w:t>
      </w:r>
      <w:r>
        <w:rPr>
          <w:rFonts w:hint="eastAsia" w:ascii="方正仿宋_GB2312" w:hAnsi="方正仿宋_GB2312" w:eastAsia="方正仿宋_GB2312" w:cs="方正仿宋_GB2312"/>
          <w:sz w:val="34"/>
          <w:szCs w:val="34"/>
          <w:lang w:val="en-US" w:eastAsia="zh-CN"/>
        </w:rPr>
        <w:t>7</w:t>
      </w:r>
      <w:bookmarkStart w:id="0" w:name="_GoBack"/>
      <w:bookmarkEnd w:id="0"/>
      <w:r>
        <w:rPr>
          <w:rFonts w:hint="eastAsia" w:ascii="方正仿宋_GB2312" w:hAnsi="方正仿宋_GB2312" w:eastAsia="方正仿宋_GB2312" w:cs="方正仿宋_GB2312"/>
          <w:sz w:val="34"/>
          <w:szCs w:val="34"/>
        </w:rPr>
        <w:t>）。</w:t>
      </w:r>
    </w:p>
    <w:p w14:paraId="4E5D6BB1">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2.学科专长类、特殊困难类、社会需求类</w:t>
      </w:r>
    </w:p>
    <w:p w14:paraId="1BF52975">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学生申请转入时，须满足必备条件，且至少满足1条选择条件：</w:t>
      </w:r>
    </w:p>
    <w:p w14:paraId="477860DC">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必备条件：</w:t>
      </w:r>
    </w:p>
    <w:p w14:paraId="16FA08B8">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（1）符合《西华大学全日制本科学生转专业管理办法（修订）》所规定的转专业类别与资格条件。</w:t>
      </w:r>
    </w:p>
    <w:p w14:paraId="5350133B">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（2）所修课程加权平均学分绩点在本年级本专业在籍在校前50%（含）以内。</w:t>
      </w:r>
    </w:p>
    <w:p w14:paraId="39A49188">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选择条件（满足其一）：</w:t>
      </w:r>
    </w:p>
    <w:p w14:paraId="02121759">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3）现就读专业人才培养方案高等数学类课程正考成绩不得低于80分；如果现就读专业人才培养方案无高等数学类课程，则高考数学成绩不低于110分（满分150分）；大学英语类课程正考成绩不得低于80分，英语四级成绩不低于425分。</w:t>
      </w:r>
    </w:p>
    <w:p w14:paraId="4D2165BF">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（4）积极参与创新创业活动，确有推动学科专业与产业深度融合等方面的成效。</w:t>
      </w:r>
    </w:p>
    <w:p w14:paraId="121C198F">
      <w:pPr>
        <w:pStyle w:val="4"/>
        <w:spacing w:before="0" w:beforeLines="0" w:line="560" w:lineRule="exact"/>
        <w:ind w:firstLine="681"/>
        <w:rPr>
          <w:rFonts w:ascii="方正公文楷体" w:hAnsi="方正公文楷体" w:eastAsia="方正公文楷体" w:cs="方正公文楷体"/>
          <w:b/>
          <w:bCs/>
          <w:sz w:val="34"/>
          <w:szCs w:val="34"/>
        </w:rPr>
      </w:pPr>
      <w:r>
        <w:rPr>
          <w:rFonts w:hint="eastAsia" w:ascii="方正公文楷体" w:hAnsi="方正公文楷体" w:eastAsia="方正公文楷体" w:cs="方正公文楷体"/>
          <w:b/>
          <w:bCs/>
          <w:sz w:val="34"/>
          <w:szCs w:val="34"/>
        </w:rPr>
        <w:t>三、考核办法与选拔原则</w:t>
      </w:r>
    </w:p>
    <w:p w14:paraId="4A693A30">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1.考核工作小组对申请材料进行审核，对符合转入条件的申请者，根据报名及初审情况决定是否实施综合考核。</w:t>
      </w:r>
    </w:p>
    <w:p w14:paraId="2E866E2F">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2.若实施综合考核，则按照综合考核成绩排名从高到低录取。</w:t>
      </w:r>
    </w:p>
    <w:p w14:paraId="304EF064">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3.若未实施综合考核，则按照申请者在本年级本专业的加权平均学分绩点排名百分比从高到低录取。</w:t>
      </w:r>
    </w:p>
    <w:p w14:paraId="3DA3E0DD">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4.录取时优先考虑第一志愿申请者。</w:t>
      </w:r>
    </w:p>
    <w:p w14:paraId="0B00061A">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5.申请者在网上报名时需上传以下材料：</w:t>
      </w:r>
    </w:p>
    <w:p w14:paraId="5FFBAD06">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（1）成绩单（教务处自助机打印）；</w:t>
      </w:r>
    </w:p>
    <w:p w14:paraId="28E69B50">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（2）高考成绩单；</w:t>
      </w:r>
    </w:p>
    <w:p w14:paraId="2F954C1F">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（3）英语四级成绩单（学院盖章）；</w:t>
      </w:r>
    </w:p>
    <w:p w14:paraId="2C158A96">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（4）加权平均学分绩点证明（见附件，学院审核、盖章）。</w:t>
      </w:r>
    </w:p>
    <w:p w14:paraId="1A6CE261">
      <w:pPr>
        <w:pStyle w:val="4"/>
        <w:spacing w:before="0" w:beforeLines="0" w:line="560" w:lineRule="exact"/>
        <w:ind w:firstLine="681"/>
        <w:rPr>
          <w:rFonts w:ascii="方正公文楷体" w:hAnsi="方正公文楷体" w:eastAsia="方正公文楷体" w:cs="方正公文楷体"/>
          <w:b/>
          <w:bCs/>
          <w:sz w:val="34"/>
          <w:szCs w:val="34"/>
        </w:rPr>
      </w:pPr>
      <w:r>
        <w:rPr>
          <w:rFonts w:hint="eastAsia" w:ascii="方正公文楷体" w:hAnsi="方正公文楷体" w:eastAsia="方正公文楷体" w:cs="方正公文楷体"/>
          <w:b/>
          <w:bCs/>
          <w:sz w:val="34"/>
          <w:szCs w:val="34"/>
        </w:rPr>
        <w:t>四、学院公示</w:t>
      </w:r>
    </w:p>
    <w:p w14:paraId="29A47E7B">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拟接收名单经学院转专业工作考核小组审核后在学院公示，公示时间为5个工作日。公示期内自愿放弃转专业的，学院可根据考核办法依次进行补录。经学院公示无异议后，将拟接收学生名单报教务处。</w:t>
      </w:r>
    </w:p>
    <w:p w14:paraId="62C42F36">
      <w:pPr>
        <w:pStyle w:val="4"/>
        <w:spacing w:before="0" w:beforeLines="0" w:line="560" w:lineRule="exact"/>
        <w:ind w:firstLine="681"/>
        <w:rPr>
          <w:rFonts w:ascii="方正公文楷体" w:hAnsi="方正公文楷体" w:eastAsia="方正公文楷体" w:cs="方正公文楷体"/>
          <w:b/>
          <w:bCs/>
          <w:sz w:val="34"/>
          <w:szCs w:val="34"/>
        </w:rPr>
      </w:pPr>
      <w:r>
        <w:rPr>
          <w:rFonts w:hint="eastAsia" w:ascii="方正公文楷体" w:hAnsi="方正公文楷体" w:eastAsia="方正公文楷体" w:cs="方正公文楷体"/>
          <w:b/>
          <w:bCs/>
          <w:sz w:val="34"/>
          <w:szCs w:val="34"/>
        </w:rPr>
        <w:t xml:space="preserve">五、异议处理方式 </w:t>
      </w:r>
    </w:p>
    <w:p w14:paraId="35DC0A22">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若有关单位或个人对于公示结果存在异议，可在公示期内向机械工程学院转专业工作考核小组和机械工程学院纪律检查委员会提出。工作小组联系人及电话：宋老师（028-87721003），纪律检查委员会联系人及电话：李老师（028-87726522）。工作考核小组和纪检委员会将对提出的异议进行调查核实，并将调查核实结果反馈给申述人。</w:t>
      </w:r>
    </w:p>
    <w:p w14:paraId="6C8E5C0C">
      <w:pPr>
        <w:pStyle w:val="4"/>
        <w:spacing w:before="0" w:beforeLines="0" w:line="560" w:lineRule="exact"/>
        <w:ind w:firstLine="681"/>
        <w:rPr>
          <w:rFonts w:ascii="方正公文楷体" w:hAnsi="方正公文楷体" w:eastAsia="方正公文楷体" w:cs="方正公文楷体"/>
          <w:b/>
          <w:bCs/>
          <w:sz w:val="34"/>
          <w:szCs w:val="34"/>
        </w:rPr>
      </w:pPr>
      <w:r>
        <w:rPr>
          <w:rFonts w:hint="eastAsia" w:ascii="方正公文楷体" w:hAnsi="方正公文楷体" w:eastAsia="方正公文楷体" w:cs="方正公文楷体"/>
          <w:b/>
          <w:bCs/>
          <w:sz w:val="34"/>
          <w:szCs w:val="34"/>
        </w:rPr>
        <w:t xml:space="preserve">六、其他 </w:t>
      </w:r>
    </w:p>
    <w:p w14:paraId="59B2E1C2">
      <w:pPr>
        <w:pStyle w:val="4"/>
        <w:spacing w:before="0" w:beforeLines="0" w:line="560" w:lineRule="exact"/>
        <w:ind w:firstLine="680"/>
        <w:rPr>
          <w:rFonts w:ascii="方正仿宋_GB2312" w:hAnsi="方正仿宋_GB2312" w:eastAsia="方正仿宋_GB2312" w:cs="方正仿宋_GB2312"/>
          <w:sz w:val="34"/>
          <w:szCs w:val="34"/>
        </w:rPr>
      </w:pPr>
      <w:r>
        <w:rPr>
          <w:rFonts w:hint="eastAsia" w:ascii="方正仿宋_GB2312" w:hAnsi="方正仿宋_GB2312" w:eastAsia="方正仿宋_GB2312" w:cs="方正仿宋_GB2312"/>
          <w:sz w:val="34"/>
          <w:szCs w:val="34"/>
        </w:rPr>
        <w:t>1.本方案由机械工程学院转专业工作考核小组负责解释。</w:t>
      </w:r>
    </w:p>
    <w:p w14:paraId="3B1F3A20">
      <w:pPr>
        <w:pStyle w:val="4"/>
        <w:ind w:firstLine="680"/>
      </w:pPr>
      <w:r>
        <w:rPr>
          <w:rFonts w:hint="eastAsia" w:ascii="方正仿宋_GB2312" w:hAnsi="方正仿宋_GB2312" w:eastAsia="方正仿宋_GB2312" w:cs="方正仿宋_GB2312"/>
          <w:sz w:val="34"/>
          <w:szCs w:val="34"/>
        </w:rPr>
        <w:t>2.未尽事宜以《西华大学全日制本科学生转专业管理办法（修订）》为准。</w:t>
      </w:r>
    </w:p>
    <w:p w14:paraId="04A8F9E3">
      <w:pPr>
        <w:pStyle w:val="4"/>
      </w:pPr>
    </w:p>
    <w:p w14:paraId="0E7451B0">
      <w:pPr>
        <w:pStyle w:val="4"/>
        <w:ind w:firstLine="0" w:firstLineChars="0"/>
      </w:pPr>
    </w:p>
    <w:p w14:paraId="71444BB3">
      <w:pPr>
        <w:widowControl/>
        <w:jc w:val="left"/>
        <w:rPr>
          <w:rFonts w:ascii="黑体" w:hAnsi="黑体" w:eastAsia="黑体" w:cs="黑体"/>
          <w:kern w:val="0"/>
          <w:sz w:val="28"/>
          <w:szCs w:val="28"/>
        </w:rPr>
      </w:pPr>
      <w:r>
        <w:rPr>
          <w:rFonts w:ascii="黑体" w:hAnsi="黑体" w:eastAsia="黑体" w:cs="黑体"/>
          <w:kern w:val="0"/>
          <w:sz w:val="28"/>
          <w:szCs w:val="28"/>
        </w:rPr>
        <w:br w:type="page"/>
      </w:r>
    </w:p>
    <w:p w14:paraId="6C834F31">
      <w:pPr>
        <w:rPr>
          <w:rFonts w:ascii="黑体" w:hAnsi="黑体" w:eastAsia="黑体" w:cs="黑体"/>
          <w:kern w:val="0"/>
          <w:sz w:val="28"/>
          <w:szCs w:val="28"/>
        </w:rPr>
      </w:pPr>
      <w:r>
        <w:rPr>
          <w:rFonts w:hint="eastAsia" w:ascii="黑体" w:hAnsi="黑体" w:eastAsia="黑体" w:cs="黑体"/>
          <w:kern w:val="0"/>
          <w:sz w:val="28"/>
          <w:szCs w:val="28"/>
        </w:rPr>
        <w:t>附件1</w:t>
      </w:r>
    </w:p>
    <w:p w14:paraId="16D27959">
      <w:pPr>
        <w:pStyle w:val="4"/>
        <w:ind w:firstLine="0" w:firstLineChars="0"/>
        <w:jc w:val="center"/>
      </w:pPr>
      <w:r>
        <w:rPr>
          <w:rFonts w:hint="eastAsia" w:ascii="黑体" w:hAnsi="黑体" w:eastAsia="黑体"/>
          <w:b/>
        </w:rPr>
        <w:t>课程加权平均学分绩点证明</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4"/>
        <w:gridCol w:w="2194"/>
        <w:gridCol w:w="2194"/>
        <w:gridCol w:w="2197"/>
      </w:tblGrid>
      <w:tr w14:paraId="43F1E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194" w:type="dxa"/>
            <w:tcBorders>
              <w:top w:val="single" w:color="auto" w:sz="4" w:space="0"/>
              <w:left w:val="single" w:color="auto" w:sz="4" w:space="0"/>
              <w:bottom w:val="single" w:color="auto" w:sz="4" w:space="0"/>
              <w:right w:val="single" w:color="auto" w:sz="4" w:space="0"/>
            </w:tcBorders>
            <w:vAlign w:val="center"/>
          </w:tcPr>
          <w:p w14:paraId="28BBF92F">
            <w:pPr>
              <w:jc w:val="center"/>
              <w:rPr>
                <w:rFonts w:ascii="宋体" w:hAnsi="宋体" w:eastAsia="宋体" w:cs="Times New Roman"/>
                <w:kern w:val="0"/>
                <w:sz w:val="28"/>
                <w:szCs w:val="28"/>
              </w:rPr>
            </w:pPr>
            <w:r>
              <w:rPr>
                <w:rFonts w:hint="eastAsia" w:ascii="宋体" w:hAnsi="宋体" w:eastAsia="宋体" w:cs="Times New Roman"/>
                <w:kern w:val="0"/>
                <w:sz w:val="28"/>
                <w:szCs w:val="28"/>
              </w:rPr>
              <w:t>所在学院</w:t>
            </w:r>
          </w:p>
        </w:tc>
        <w:tc>
          <w:tcPr>
            <w:tcW w:w="6584" w:type="dxa"/>
            <w:gridSpan w:val="3"/>
            <w:tcBorders>
              <w:top w:val="single" w:color="auto" w:sz="4" w:space="0"/>
              <w:left w:val="single" w:color="auto" w:sz="4" w:space="0"/>
              <w:bottom w:val="single" w:color="auto" w:sz="4" w:space="0"/>
              <w:right w:val="single" w:color="auto" w:sz="4" w:space="0"/>
            </w:tcBorders>
            <w:vAlign w:val="center"/>
          </w:tcPr>
          <w:p w14:paraId="59EDF546">
            <w:pPr>
              <w:jc w:val="center"/>
              <w:rPr>
                <w:rFonts w:ascii="宋体" w:hAnsi="宋体" w:eastAsia="宋体" w:cs="Times New Roman"/>
                <w:kern w:val="0"/>
                <w:sz w:val="28"/>
                <w:szCs w:val="28"/>
              </w:rPr>
            </w:pPr>
          </w:p>
        </w:tc>
      </w:tr>
      <w:tr w14:paraId="17551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194" w:type="dxa"/>
            <w:tcBorders>
              <w:top w:val="single" w:color="auto" w:sz="4" w:space="0"/>
              <w:left w:val="single" w:color="auto" w:sz="4" w:space="0"/>
              <w:bottom w:val="single" w:color="auto" w:sz="4" w:space="0"/>
              <w:right w:val="single" w:color="auto" w:sz="4" w:space="0"/>
            </w:tcBorders>
            <w:vAlign w:val="center"/>
          </w:tcPr>
          <w:p w14:paraId="5EFD495A">
            <w:pPr>
              <w:jc w:val="center"/>
              <w:rPr>
                <w:rFonts w:ascii="宋体" w:hAnsi="宋体" w:eastAsia="宋体" w:cs="Times New Roman"/>
                <w:kern w:val="0"/>
                <w:sz w:val="28"/>
                <w:szCs w:val="28"/>
              </w:rPr>
            </w:pPr>
            <w:r>
              <w:rPr>
                <w:rFonts w:hint="eastAsia" w:ascii="宋体" w:hAnsi="宋体" w:eastAsia="宋体" w:cs="Times New Roman"/>
                <w:kern w:val="0"/>
                <w:sz w:val="28"/>
                <w:szCs w:val="28"/>
              </w:rPr>
              <w:t>学生姓名</w:t>
            </w:r>
          </w:p>
        </w:tc>
        <w:tc>
          <w:tcPr>
            <w:tcW w:w="2194" w:type="dxa"/>
            <w:tcBorders>
              <w:top w:val="single" w:color="auto" w:sz="4" w:space="0"/>
              <w:left w:val="single" w:color="auto" w:sz="4" w:space="0"/>
              <w:bottom w:val="single" w:color="auto" w:sz="4" w:space="0"/>
              <w:right w:val="single" w:color="auto" w:sz="4" w:space="0"/>
            </w:tcBorders>
            <w:vAlign w:val="center"/>
          </w:tcPr>
          <w:p w14:paraId="09BE528F">
            <w:pPr>
              <w:jc w:val="center"/>
              <w:rPr>
                <w:rFonts w:ascii="宋体" w:hAnsi="宋体" w:eastAsia="宋体" w:cs="Times New Roman"/>
                <w:kern w:val="0"/>
                <w:sz w:val="28"/>
                <w:szCs w:val="28"/>
              </w:rPr>
            </w:pPr>
          </w:p>
        </w:tc>
        <w:tc>
          <w:tcPr>
            <w:tcW w:w="2194" w:type="dxa"/>
            <w:tcBorders>
              <w:top w:val="single" w:color="auto" w:sz="4" w:space="0"/>
              <w:left w:val="single" w:color="auto" w:sz="4" w:space="0"/>
              <w:bottom w:val="single" w:color="auto" w:sz="4" w:space="0"/>
              <w:right w:val="single" w:color="auto" w:sz="4" w:space="0"/>
            </w:tcBorders>
            <w:vAlign w:val="center"/>
          </w:tcPr>
          <w:p w14:paraId="507D34A5">
            <w:pPr>
              <w:jc w:val="center"/>
              <w:rPr>
                <w:rFonts w:ascii="宋体" w:hAnsi="宋体" w:eastAsia="宋体" w:cs="Times New Roman"/>
                <w:kern w:val="0"/>
                <w:sz w:val="28"/>
                <w:szCs w:val="28"/>
              </w:rPr>
            </w:pPr>
            <w:r>
              <w:rPr>
                <w:rFonts w:hint="eastAsia" w:ascii="宋体" w:hAnsi="宋体" w:eastAsia="宋体" w:cs="Times New Roman"/>
                <w:kern w:val="0"/>
                <w:sz w:val="28"/>
                <w:szCs w:val="28"/>
              </w:rPr>
              <w:t>学号</w:t>
            </w:r>
          </w:p>
        </w:tc>
        <w:tc>
          <w:tcPr>
            <w:tcW w:w="2194" w:type="dxa"/>
            <w:tcBorders>
              <w:top w:val="single" w:color="auto" w:sz="4" w:space="0"/>
              <w:left w:val="single" w:color="auto" w:sz="4" w:space="0"/>
              <w:bottom w:val="single" w:color="auto" w:sz="4" w:space="0"/>
              <w:right w:val="single" w:color="auto" w:sz="4" w:space="0"/>
            </w:tcBorders>
            <w:vAlign w:val="center"/>
          </w:tcPr>
          <w:p w14:paraId="3AB24FC2">
            <w:pPr>
              <w:rPr>
                <w:rFonts w:ascii="宋体" w:hAnsi="宋体" w:eastAsia="宋体" w:cs="Times New Roman"/>
                <w:kern w:val="0"/>
                <w:sz w:val="28"/>
                <w:szCs w:val="28"/>
              </w:rPr>
            </w:pPr>
          </w:p>
        </w:tc>
      </w:tr>
      <w:tr w14:paraId="3A384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194" w:type="dxa"/>
            <w:tcBorders>
              <w:top w:val="single" w:color="auto" w:sz="4" w:space="0"/>
              <w:left w:val="single" w:color="auto" w:sz="4" w:space="0"/>
              <w:bottom w:val="single" w:color="auto" w:sz="4" w:space="0"/>
              <w:right w:val="single" w:color="auto" w:sz="4" w:space="0"/>
            </w:tcBorders>
            <w:vAlign w:val="center"/>
          </w:tcPr>
          <w:p w14:paraId="1C2BED0D">
            <w:pPr>
              <w:jc w:val="center"/>
              <w:rPr>
                <w:rFonts w:ascii="宋体" w:hAnsi="宋体" w:eastAsia="宋体" w:cs="Times New Roman"/>
                <w:kern w:val="0"/>
                <w:sz w:val="28"/>
                <w:szCs w:val="28"/>
              </w:rPr>
            </w:pPr>
            <w:r>
              <w:rPr>
                <w:rFonts w:hint="eastAsia" w:ascii="宋体" w:hAnsi="宋体" w:eastAsia="宋体" w:cs="Times New Roman"/>
                <w:kern w:val="0"/>
                <w:sz w:val="28"/>
                <w:szCs w:val="28"/>
              </w:rPr>
              <w:t>年级</w:t>
            </w:r>
          </w:p>
        </w:tc>
        <w:tc>
          <w:tcPr>
            <w:tcW w:w="2194" w:type="dxa"/>
            <w:tcBorders>
              <w:top w:val="single" w:color="auto" w:sz="4" w:space="0"/>
              <w:left w:val="single" w:color="auto" w:sz="4" w:space="0"/>
              <w:bottom w:val="single" w:color="auto" w:sz="4" w:space="0"/>
              <w:right w:val="single" w:color="auto" w:sz="4" w:space="0"/>
            </w:tcBorders>
            <w:vAlign w:val="center"/>
          </w:tcPr>
          <w:p w14:paraId="1B9AB07B">
            <w:pPr>
              <w:jc w:val="center"/>
              <w:rPr>
                <w:rFonts w:ascii="宋体" w:hAnsi="宋体" w:eastAsia="宋体" w:cs="Times New Roman"/>
                <w:kern w:val="0"/>
                <w:sz w:val="28"/>
                <w:szCs w:val="28"/>
              </w:rPr>
            </w:pPr>
          </w:p>
        </w:tc>
        <w:tc>
          <w:tcPr>
            <w:tcW w:w="2194" w:type="dxa"/>
            <w:tcBorders>
              <w:top w:val="single" w:color="auto" w:sz="4" w:space="0"/>
              <w:left w:val="single" w:color="auto" w:sz="4" w:space="0"/>
              <w:bottom w:val="single" w:color="auto" w:sz="4" w:space="0"/>
              <w:right w:val="single" w:color="auto" w:sz="4" w:space="0"/>
            </w:tcBorders>
            <w:vAlign w:val="center"/>
          </w:tcPr>
          <w:p w14:paraId="39D06182">
            <w:pPr>
              <w:jc w:val="center"/>
              <w:rPr>
                <w:rFonts w:ascii="宋体" w:hAnsi="宋体" w:eastAsia="宋体" w:cs="Times New Roman"/>
                <w:kern w:val="0"/>
                <w:sz w:val="28"/>
                <w:szCs w:val="28"/>
              </w:rPr>
            </w:pPr>
            <w:r>
              <w:rPr>
                <w:rFonts w:hint="eastAsia" w:ascii="宋体" w:hAnsi="宋体" w:eastAsia="宋体" w:cs="Times New Roman"/>
                <w:kern w:val="0"/>
                <w:sz w:val="28"/>
                <w:szCs w:val="28"/>
              </w:rPr>
              <w:t>专业</w:t>
            </w:r>
          </w:p>
        </w:tc>
        <w:tc>
          <w:tcPr>
            <w:tcW w:w="2194" w:type="dxa"/>
            <w:tcBorders>
              <w:top w:val="single" w:color="auto" w:sz="4" w:space="0"/>
              <w:left w:val="single" w:color="auto" w:sz="4" w:space="0"/>
              <w:bottom w:val="single" w:color="auto" w:sz="4" w:space="0"/>
              <w:right w:val="single" w:color="auto" w:sz="4" w:space="0"/>
            </w:tcBorders>
            <w:vAlign w:val="center"/>
          </w:tcPr>
          <w:p w14:paraId="7B407330">
            <w:pPr>
              <w:rPr>
                <w:rFonts w:ascii="宋体" w:hAnsi="宋体" w:eastAsia="宋体" w:cs="Times New Roman"/>
                <w:kern w:val="0"/>
                <w:sz w:val="28"/>
                <w:szCs w:val="28"/>
              </w:rPr>
            </w:pPr>
          </w:p>
        </w:tc>
      </w:tr>
      <w:tr w14:paraId="3101E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7" w:hRule="atLeast"/>
          <w:jc w:val="center"/>
        </w:trPr>
        <w:tc>
          <w:tcPr>
            <w:tcW w:w="2194" w:type="dxa"/>
            <w:tcBorders>
              <w:top w:val="single" w:color="auto" w:sz="4" w:space="0"/>
              <w:left w:val="single" w:color="auto" w:sz="4" w:space="0"/>
              <w:bottom w:val="single" w:color="auto" w:sz="4" w:space="0"/>
              <w:right w:val="single" w:color="auto" w:sz="4" w:space="0"/>
            </w:tcBorders>
            <w:vAlign w:val="center"/>
          </w:tcPr>
          <w:p w14:paraId="5AC7D32E">
            <w:pPr>
              <w:jc w:val="center"/>
              <w:rPr>
                <w:rFonts w:ascii="宋体" w:hAnsi="宋体" w:eastAsia="宋体" w:cs="Times New Roman"/>
                <w:kern w:val="0"/>
                <w:sz w:val="28"/>
                <w:szCs w:val="28"/>
              </w:rPr>
            </w:pPr>
            <w:r>
              <w:rPr>
                <w:rFonts w:hint="eastAsia" w:ascii="宋体" w:hAnsi="宋体" w:eastAsia="宋体" w:cs="Times New Roman"/>
                <w:kern w:val="0"/>
                <w:sz w:val="28"/>
                <w:szCs w:val="28"/>
              </w:rPr>
              <w:t>所在专业</w:t>
            </w:r>
          </w:p>
          <w:p w14:paraId="2A9518C4">
            <w:pPr>
              <w:jc w:val="center"/>
              <w:rPr>
                <w:rFonts w:ascii="宋体" w:hAnsi="宋体" w:eastAsia="宋体" w:cs="Times New Roman"/>
                <w:kern w:val="0"/>
                <w:sz w:val="28"/>
                <w:szCs w:val="28"/>
              </w:rPr>
            </w:pPr>
            <w:r>
              <w:rPr>
                <w:rFonts w:hint="eastAsia" w:ascii="宋体" w:hAnsi="宋体" w:eastAsia="宋体" w:cs="Times New Roman"/>
                <w:kern w:val="0"/>
                <w:sz w:val="28"/>
                <w:szCs w:val="28"/>
              </w:rPr>
              <w:t>年级总人数</w:t>
            </w:r>
          </w:p>
        </w:tc>
        <w:tc>
          <w:tcPr>
            <w:tcW w:w="6584" w:type="dxa"/>
            <w:gridSpan w:val="3"/>
            <w:tcBorders>
              <w:top w:val="single" w:color="auto" w:sz="4" w:space="0"/>
              <w:left w:val="single" w:color="auto" w:sz="4" w:space="0"/>
              <w:bottom w:val="single" w:color="auto" w:sz="4" w:space="0"/>
              <w:right w:val="single" w:color="auto" w:sz="4" w:space="0"/>
            </w:tcBorders>
            <w:vAlign w:val="center"/>
          </w:tcPr>
          <w:p w14:paraId="0B922626">
            <w:pPr>
              <w:rPr>
                <w:rFonts w:ascii="宋体" w:hAnsi="宋体" w:eastAsia="宋体" w:cs="Times New Roman"/>
                <w:kern w:val="0"/>
                <w:sz w:val="28"/>
                <w:szCs w:val="28"/>
              </w:rPr>
            </w:pPr>
          </w:p>
        </w:tc>
      </w:tr>
      <w:tr w14:paraId="3E9FC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9" w:hRule="atLeast"/>
          <w:jc w:val="center"/>
        </w:trPr>
        <w:tc>
          <w:tcPr>
            <w:tcW w:w="2194" w:type="dxa"/>
            <w:tcBorders>
              <w:top w:val="single" w:color="auto" w:sz="4" w:space="0"/>
              <w:left w:val="single" w:color="auto" w:sz="4" w:space="0"/>
              <w:bottom w:val="single" w:color="auto" w:sz="4" w:space="0"/>
              <w:right w:val="single" w:color="auto" w:sz="4" w:space="0"/>
            </w:tcBorders>
            <w:vAlign w:val="center"/>
          </w:tcPr>
          <w:p w14:paraId="515C3E73">
            <w:pPr>
              <w:jc w:val="center"/>
              <w:rPr>
                <w:rFonts w:ascii="宋体" w:hAnsi="宋体" w:eastAsia="宋体" w:cs="Times New Roman"/>
                <w:kern w:val="0"/>
                <w:sz w:val="28"/>
                <w:szCs w:val="28"/>
              </w:rPr>
            </w:pPr>
            <w:r>
              <w:rPr>
                <w:rFonts w:hint="eastAsia" w:ascii="宋体" w:hAnsi="宋体" w:eastAsia="宋体" w:cs="Times New Roman"/>
                <w:kern w:val="0"/>
                <w:sz w:val="28"/>
                <w:szCs w:val="28"/>
              </w:rPr>
              <w:t>加权平均学分绩点</w:t>
            </w:r>
          </w:p>
        </w:tc>
        <w:tc>
          <w:tcPr>
            <w:tcW w:w="2194" w:type="dxa"/>
            <w:tcBorders>
              <w:top w:val="single" w:color="auto" w:sz="4" w:space="0"/>
              <w:left w:val="single" w:color="auto" w:sz="4" w:space="0"/>
              <w:bottom w:val="single" w:color="auto" w:sz="4" w:space="0"/>
              <w:right w:val="single" w:color="auto" w:sz="4" w:space="0"/>
            </w:tcBorders>
            <w:vAlign w:val="center"/>
          </w:tcPr>
          <w:p w14:paraId="06574C22">
            <w:pPr>
              <w:jc w:val="center"/>
              <w:rPr>
                <w:rFonts w:ascii="宋体" w:hAnsi="宋体" w:eastAsia="宋体" w:cs="Times New Roman"/>
                <w:kern w:val="0"/>
                <w:sz w:val="28"/>
                <w:szCs w:val="28"/>
              </w:rPr>
            </w:pPr>
          </w:p>
        </w:tc>
        <w:tc>
          <w:tcPr>
            <w:tcW w:w="2194" w:type="dxa"/>
            <w:tcBorders>
              <w:top w:val="single" w:color="auto" w:sz="4" w:space="0"/>
              <w:left w:val="single" w:color="auto" w:sz="4" w:space="0"/>
              <w:bottom w:val="single" w:color="auto" w:sz="4" w:space="0"/>
              <w:right w:val="single" w:color="auto" w:sz="4" w:space="0"/>
            </w:tcBorders>
            <w:vAlign w:val="center"/>
          </w:tcPr>
          <w:p w14:paraId="33349445">
            <w:pPr>
              <w:jc w:val="center"/>
              <w:rPr>
                <w:rFonts w:ascii="宋体" w:hAnsi="宋体" w:eastAsia="宋体" w:cs="Times New Roman"/>
                <w:kern w:val="0"/>
                <w:sz w:val="28"/>
                <w:szCs w:val="28"/>
              </w:rPr>
            </w:pPr>
            <w:r>
              <w:rPr>
                <w:rFonts w:hint="eastAsia" w:ascii="宋体" w:hAnsi="宋体" w:eastAsia="宋体" w:cs="Times New Roman"/>
                <w:kern w:val="0"/>
                <w:sz w:val="28"/>
                <w:szCs w:val="28"/>
              </w:rPr>
              <w:t>加权平均学分绩点排名</w:t>
            </w:r>
          </w:p>
        </w:tc>
        <w:tc>
          <w:tcPr>
            <w:tcW w:w="2194" w:type="dxa"/>
            <w:tcBorders>
              <w:top w:val="single" w:color="auto" w:sz="4" w:space="0"/>
              <w:left w:val="single" w:color="auto" w:sz="4" w:space="0"/>
              <w:bottom w:val="single" w:color="auto" w:sz="4" w:space="0"/>
              <w:right w:val="single" w:color="auto" w:sz="4" w:space="0"/>
            </w:tcBorders>
            <w:vAlign w:val="center"/>
          </w:tcPr>
          <w:p w14:paraId="53DDFC7D">
            <w:pPr>
              <w:rPr>
                <w:rFonts w:ascii="宋体" w:hAnsi="宋体" w:eastAsia="宋体" w:cs="Times New Roman"/>
                <w:kern w:val="0"/>
                <w:sz w:val="28"/>
                <w:szCs w:val="28"/>
              </w:rPr>
            </w:pPr>
          </w:p>
        </w:tc>
      </w:tr>
      <w:tr w14:paraId="2B928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2" w:hRule="atLeast"/>
          <w:jc w:val="center"/>
        </w:trPr>
        <w:tc>
          <w:tcPr>
            <w:tcW w:w="8779" w:type="dxa"/>
            <w:gridSpan w:val="4"/>
            <w:tcBorders>
              <w:top w:val="single" w:color="auto" w:sz="4" w:space="0"/>
              <w:left w:val="single" w:color="auto" w:sz="4" w:space="0"/>
              <w:bottom w:val="single" w:color="auto" w:sz="4" w:space="0"/>
              <w:right w:val="single" w:color="auto" w:sz="4" w:space="0"/>
            </w:tcBorders>
          </w:tcPr>
          <w:p w14:paraId="20708283">
            <w:pPr>
              <w:rPr>
                <w:rFonts w:ascii="宋体" w:hAnsi="宋体" w:eastAsia="宋体" w:cs="Times New Roman"/>
                <w:kern w:val="0"/>
                <w:sz w:val="28"/>
                <w:szCs w:val="28"/>
              </w:rPr>
            </w:pPr>
          </w:p>
          <w:p w14:paraId="69FB219A">
            <w:pPr>
              <w:rPr>
                <w:rFonts w:ascii="宋体" w:hAnsi="宋体" w:eastAsia="宋体" w:cs="Times New Roman"/>
                <w:kern w:val="0"/>
                <w:sz w:val="28"/>
                <w:szCs w:val="28"/>
              </w:rPr>
            </w:pPr>
            <w:r>
              <w:rPr>
                <w:rFonts w:hint="eastAsia" w:ascii="宋体" w:hAnsi="宋体" w:eastAsia="宋体" w:cs="Times New Roman"/>
                <w:kern w:val="0"/>
                <w:sz w:val="28"/>
                <w:szCs w:val="28"/>
              </w:rPr>
              <w:t>本人保证以上内容真实无误，如有弄虚作假，将取消转专业申请资格。</w:t>
            </w:r>
          </w:p>
          <w:p w14:paraId="2E595027">
            <w:pPr>
              <w:ind w:left="5320" w:hanging="5320" w:hangingChars="1900"/>
              <w:rPr>
                <w:rFonts w:ascii="宋体" w:hAnsi="宋体" w:eastAsia="宋体" w:cs="Times New Roman"/>
                <w:kern w:val="0"/>
                <w:sz w:val="28"/>
                <w:szCs w:val="28"/>
              </w:rPr>
            </w:pPr>
            <w:r>
              <w:rPr>
                <w:rFonts w:hint="eastAsia" w:ascii="宋体" w:hAnsi="宋体" w:eastAsia="宋体" w:cs="Times New Roman"/>
                <w:kern w:val="0"/>
                <w:sz w:val="28"/>
                <w:szCs w:val="28"/>
              </w:rPr>
              <w:t xml:space="preserve">                                                          </w:t>
            </w:r>
          </w:p>
          <w:p w14:paraId="5B8C90FA">
            <w:pPr>
              <w:ind w:left="3990" w:leftChars="1900" w:firstLine="1120" w:firstLineChars="400"/>
              <w:rPr>
                <w:rFonts w:ascii="宋体" w:hAnsi="宋体" w:eastAsia="宋体" w:cs="Times New Roman"/>
                <w:kern w:val="0"/>
                <w:sz w:val="28"/>
                <w:szCs w:val="28"/>
              </w:rPr>
            </w:pPr>
            <w:r>
              <w:rPr>
                <w:rFonts w:hint="eastAsia" w:ascii="宋体" w:hAnsi="宋体" w:eastAsia="宋体" w:cs="Times New Roman"/>
                <w:kern w:val="0"/>
                <w:sz w:val="28"/>
                <w:szCs w:val="28"/>
              </w:rPr>
              <w:t>本人签名：</w:t>
            </w:r>
          </w:p>
          <w:p w14:paraId="22CF2834">
            <w:pPr>
              <w:rPr>
                <w:rFonts w:ascii="宋体" w:hAnsi="宋体" w:eastAsia="宋体" w:cs="Times New Roman"/>
                <w:kern w:val="0"/>
                <w:sz w:val="28"/>
                <w:szCs w:val="28"/>
              </w:rPr>
            </w:pPr>
            <w:r>
              <w:rPr>
                <w:rFonts w:hint="eastAsia" w:ascii="宋体" w:hAnsi="宋体" w:eastAsia="宋体" w:cs="Times New Roman"/>
                <w:kern w:val="0"/>
                <w:sz w:val="28"/>
                <w:szCs w:val="28"/>
              </w:rPr>
              <w:t xml:space="preserve">                                         年    月    日</w:t>
            </w:r>
          </w:p>
        </w:tc>
      </w:tr>
      <w:tr w14:paraId="23067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4" w:hRule="atLeast"/>
          <w:jc w:val="center"/>
        </w:trPr>
        <w:tc>
          <w:tcPr>
            <w:tcW w:w="8779" w:type="dxa"/>
            <w:gridSpan w:val="4"/>
            <w:tcBorders>
              <w:top w:val="single" w:color="auto" w:sz="4" w:space="0"/>
              <w:left w:val="single" w:color="auto" w:sz="4" w:space="0"/>
              <w:bottom w:val="single" w:color="auto" w:sz="4" w:space="0"/>
              <w:right w:val="single" w:color="auto" w:sz="4" w:space="0"/>
            </w:tcBorders>
          </w:tcPr>
          <w:p w14:paraId="2917D211">
            <w:pPr>
              <w:rPr>
                <w:rFonts w:ascii="宋体" w:hAnsi="宋体" w:eastAsia="宋体" w:cs="Times New Roman"/>
                <w:kern w:val="0"/>
                <w:sz w:val="28"/>
                <w:szCs w:val="28"/>
              </w:rPr>
            </w:pPr>
          </w:p>
          <w:p w14:paraId="6069D3F4">
            <w:pPr>
              <w:ind w:firstLine="3360" w:firstLineChars="1200"/>
              <w:rPr>
                <w:rFonts w:ascii="宋体" w:hAnsi="宋体" w:eastAsia="宋体" w:cs="Times New Roman"/>
                <w:kern w:val="0"/>
                <w:sz w:val="28"/>
                <w:szCs w:val="28"/>
              </w:rPr>
            </w:pPr>
            <w:r>
              <w:rPr>
                <w:rFonts w:hint="eastAsia" w:ascii="宋体" w:hAnsi="宋体" w:eastAsia="宋体" w:cs="Times New Roman"/>
                <w:kern w:val="0"/>
                <w:sz w:val="28"/>
                <w:szCs w:val="28"/>
              </w:rPr>
              <w:t>情况属实。</w:t>
            </w:r>
          </w:p>
          <w:p w14:paraId="056F1FB1">
            <w:pPr>
              <w:ind w:left="5600" w:hanging="5600" w:hangingChars="2000"/>
              <w:rPr>
                <w:rFonts w:ascii="宋体" w:hAnsi="宋体" w:eastAsia="宋体" w:cs="Times New Roman"/>
                <w:kern w:val="0"/>
                <w:sz w:val="28"/>
                <w:szCs w:val="28"/>
              </w:rPr>
            </w:pPr>
            <w:r>
              <w:rPr>
                <w:rFonts w:hint="eastAsia" w:ascii="宋体" w:hAnsi="宋体" w:eastAsia="宋体" w:cs="Times New Roman"/>
                <w:kern w:val="0"/>
                <w:sz w:val="28"/>
                <w:szCs w:val="28"/>
              </w:rPr>
              <w:t xml:space="preserve">                                         XX学院（盖章）</w:t>
            </w:r>
          </w:p>
          <w:p w14:paraId="32D1F791">
            <w:pPr>
              <w:rPr>
                <w:rFonts w:ascii="宋体" w:hAnsi="宋体" w:eastAsia="宋体" w:cs="Times New Roman"/>
                <w:kern w:val="0"/>
                <w:sz w:val="28"/>
                <w:szCs w:val="28"/>
              </w:rPr>
            </w:pPr>
            <w:r>
              <w:rPr>
                <w:rFonts w:hint="eastAsia" w:ascii="宋体" w:hAnsi="宋体" w:eastAsia="宋体" w:cs="Times New Roman"/>
                <w:kern w:val="0"/>
                <w:sz w:val="28"/>
                <w:szCs w:val="28"/>
              </w:rPr>
              <w:t xml:space="preserve">                                         年    月    日 </w:t>
            </w:r>
          </w:p>
        </w:tc>
      </w:tr>
    </w:tbl>
    <w:p w14:paraId="2348C680">
      <w:pPr>
        <w:pStyle w:val="4"/>
        <w:ind w:firstLine="0" w:firstLineChars="0"/>
      </w:pPr>
    </w:p>
    <w:sectPr>
      <w:pgSz w:w="11906" w:h="16838"/>
      <w:pgMar w:top="1418" w:right="1418" w:bottom="1418"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3D5E979-A011-499B-9B88-074D81884D6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2" w:fontKey="{0035A228-F637-4AB6-AE31-A0A12ED36E59}"/>
  </w:font>
  <w:font w:name="方正公文楷体">
    <w:altName w:val="宋体"/>
    <w:panose1 w:val="00000000000000000000"/>
    <w:charset w:val="86"/>
    <w:family w:val="auto"/>
    <w:pitch w:val="default"/>
    <w:sig w:usb0="00000000" w:usb1="00000000" w:usb2="00000016" w:usb3="00000000" w:csb0="00040001" w:csb1="00000000"/>
    <w:embedRegular r:id="rId3" w:fontKey="{94498282-729D-4465-BB99-E6E7EEFAC721}"/>
  </w:font>
  <w:font w:name="方正仿宋_GB2312">
    <w:panose1 w:val="02000000000000000000"/>
    <w:charset w:val="86"/>
    <w:family w:val="auto"/>
    <w:pitch w:val="default"/>
    <w:sig w:usb0="A00002BF" w:usb1="184F6CFA" w:usb2="00000012" w:usb3="00000000" w:csb0="00040001" w:csb1="00000000"/>
    <w:embedRegular r:id="rId4" w:fontKey="{9FE5572C-3346-43C4-9B23-DE4D1B80758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RiOGRjN2EwZWZjYWZlODVmM2ExMWI0ZWI2MmI1N2QifQ=="/>
  </w:docVars>
  <w:rsids>
    <w:rsidRoot w:val="25EE061D"/>
    <w:rsid w:val="000437CB"/>
    <w:rsid w:val="0004774D"/>
    <w:rsid w:val="0009013A"/>
    <w:rsid w:val="000E4AD1"/>
    <w:rsid w:val="00132B28"/>
    <w:rsid w:val="001B01E1"/>
    <w:rsid w:val="001E53C1"/>
    <w:rsid w:val="002126FD"/>
    <w:rsid w:val="00275E60"/>
    <w:rsid w:val="002E78C1"/>
    <w:rsid w:val="002F7999"/>
    <w:rsid w:val="00315BE5"/>
    <w:rsid w:val="00346A2E"/>
    <w:rsid w:val="00434B56"/>
    <w:rsid w:val="004F4CC9"/>
    <w:rsid w:val="00515960"/>
    <w:rsid w:val="005B0666"/>
    <w:rsid w:val="006161B0"/>
    <w:rsid w:val="006660FA"/>
    <w:rsid w:val="00670C59"/>
    <w:rsid w:val="006E3985"/>
    <w:rsid w:val="007A48CD"/>
    <w:rsid w:val="008E7878"/>
    <w:rsid w:val="00912A9A"/>
    <w:rsid w:val="00A41B7A"/>
    <w:rsid w:val="00A80DF0"/>
    <w:rsid w:val="00A82053"/>
    <w:rsid w:val="00AC14C3"/>
    <w:rsid w:val="00AC164E"/>
    <w:rsid w:val="00B85436"/>
    <w:rsid w:val="00D34CC8"/>
    <w:rsid w:val="00D5759B"/>
    <w:rsid w:val="00E25775"/>
    <w:rsid w:val="00EA55A4"/>
    <w:rsid w:val="00EA575C"/>
    <w:rsid w:val="00FA5C49"/>
    <w:rsid w:val="0140629E"/>
    <w:rsid w:val="040A0AF7"/>
    <w:rsid w:val="04937B6A"/>
    <w:rsid w:val="0B6902FF"/>
    <w:rsid w:val="0DC30C34"/>
    <w:rsid w:val="0E9A2288"/>
    <w:rsid w:val="0F587009"/>
    <w:rsid w:val="0FF6620C"/>
    <w:rsid w:val="100C0CAB"/>
    <w:rsid w:val="11503F2C"/>
    <w:rsid w:val="14A00781"/>
    <w:rsid w:val="14E632D7"/>
    <w:rsid w:val="156644AF"/>
    <w:rsid w:val="184E71FB"/>
    <w:rsid w:val="1BF71D06"/>
    <w:rsid w:val="1C5F0D99"/>
    <w:rsid w:val="1DD53A7F"/>
    <w:rsid w:val="1F3E7D51"/>
    <w:rsid w:val="1F6A2898"/>
    <w:rsid w:val="1F896D6A"/>
    <w:rsid w:val="254D5EC5"/>
    <w:rsid w:val="25EE061D"/>
    <w:rsid w:val="27050463"/>
    <w:rsid w:val="27AF043B"/>
    <w:rsid w:val="28B160F3"/>
    <w:rsid w:val="28BE1030"/>
    <w:rsid w:val="2B7A47B0"/>
    <w:rsid w:val="2BF4080F"/>
    <w:rsid w:val="2CA568A1"/>
    <w:rsid w:val="2CD63FAE"/>
    <w:rsid w:val="2D1F3A02"/>
    <w:rsid w:val="2EAE691A"/>
    <w:rsid w:val="2F4E728D"/>
    <w:rsid w:val="337673D3"/>
    <w:rsid w:val="340B3438"/>
    <w:rsid w:val="344C23E9"/>
    <w:rsid w:val="36617CA1"/>
    <w:rsid w:val="37CE4BBA"/>
    <w:rsid w:val="3C1F2C3B"/>
    <w:rsid w:val="3F676473"/>
    <w:rsid w:val="3FEE0E58"/>
    <w:rsid w:val="403F5EBC"/>
    <w:rsid w:val="42EE5221"/>
    <w:rsid w:val="46B345B8"/>
    <w:rsid w:val="46BF4C9C"/>
    <w:rsid w:val="4C2372D4"/>
    <w:rsid w:val="4C53598B"/>
    <w:rsid w:val="4D5D33C2"/>
    <w:rsid w:val="500C3E41"/>
    <w:rsid w:val="52D60049"/>
    <w:rsid w:val="54284946"/>
    <w:rsid w:val="58AB4658"/>
    <w:rsid w:val="59834E2C"/>
    <w:rsid w:val="599563C7"/>
    <w:rsid w:val="5A1377A1"/>
    <w:rsid w:val="5A2F38FA"/>
    <w:rsid w:val="5CA9499B"/>
    <w:rsid w:val="60053898"/>
    <w:rsid w:val="624D3512"/>
    <w:rsid w:val="62785D9E"/>
    <w:rsid w:val="6451714C"/>
    <w:rsid w:val="656B3F87"/>
    <w:rsid w:val="65942D2C"/>
    <w:rsid w:val="692C4A1B"/>
    <w:rsid w:val="6AC56475"/>
    <w:rsid w:val="6B807CFB"/>
    <w:rsid w:val="6C3F65A7"/>
    <w:rsid w:val="6F5A7E1B"/>
    <w:rsid w:val="6FB87C1D"/>
    <w:rsid w:val="70C035D3"/>
    <w:rsid w:val="722F7F9A"/>
    <w:rsid w:val="72AE78CD"/>
    <w:rsid w:val="73060561"/>
    <w:rsid w:val="78840E34"/>
    <w:rsid w:val="79843B54"/>
    <w:rsid w:val="7B443E58"/>
    <w:rsid w:val="7C5C33BF"/>
    <w:rsid w:val="7D795449"/>
    <w:rsid w:val="7DD36D3D"/>
    <w:rsid w:val="7E4C5238"/>
    <w:rsid w:val="7EA36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widowControl/>
      <w:spacing w:before="100" w:beforeAutospacing="1" w:after="100" w:afterAutospacing="1"/>
      <w:jc w:val="left"/>
      <w:outlineLvl w:val="0"/>
    </w:pPr>
    <w:rPr>
      <w:rFonts w:ascii="宋体" w:hAnsi="宋体" w:eastAsia="宋体"/>
      <w:b/>
      <w:bCs/>
      <w:kern w:val="36"/>
      <w:sz w:val="48"/>
      <w:szCs w:val="48"/>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line="300" w:lineRule="auto"/>
      <w:ind w:firstLine="480" w:firstLineChars="200"/>
    </w:pPr>
    <w:rPr>
      <w:rFonts w:ascii="Times New Roman" w:hAnsi="Times New Roman"/>
      <w:sz w:val="24"/>
    </w:rPr>
  </w:style>
  <w:style w:type="paragraph" w:styleId="4">
    <w:name w:val="Normal (Web)"/>
    <w:basedOn w:val="1"/>
    <w:autoRedefine/>
    <w:qFormat/>
    <w:uiPriority w:val="0"/>
    <w:pPr>
      <w:shd w:val="clear" w:color="auto" w:fill="FFFFFF"/>
      <w:spacing w:before="156" w:beforeLines="50"/>
      <w:ind w:firstLine="560" w:firstLineChars="200"/>
    </w:pPr>
    <w:rPr>
      <w:rFonts w:ascii="仿宋" w:hAnsi="仿宋" w:eastAsia="仿宋" w:cs="仿宋"/>
      <w:color w:val="000000" w:themeColor="text1"/>
      <w:sz w:val="28"/>
      <w:szCs w:val="28"/>
      <w14:textFill>
        <w14:solidFill>
          <w14:schemeClr w14:val="tx1"/>
        </w14:solidFill>
      </w14:textFill>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autoRedefine/>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2407</Words>
  <Characters>2509</Characters>
  <Lines>20</Lines>
  <Paragraphs>5</Paragraphs>
  <TotalTime>18</TotalTime>
  <ScaleCrop>false</ScaleCrop>
  <LinksUpToDate>false</LinksUpToDate>
  <CharactersWithSpaces>2716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2025-03-25T09:11:00Z</dcterms:created>
  <dc:creator>庄发文</dc:creator>
  <cp:lastModifiedBy>seafs</cp:lastModifiedBy>
  <cp:lastPrinted>2026-04-24T01:48:00Z</cp:lastPrinted>
  <dcterms:modified xsi:type="dcterms:W3CDTF">2026-04-27T02:38:31Z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0D244186BA074AF99F8D1CB48C23A0E4_13</vt:lpwstr>
  </property>
  <property fmtid="{D5CDD505-2E9C-101B-9397-08002B2CF9AE}" pid="4" name="KSOTemplateDocerSaveRecord">
    <vt:lpwstr>eyJoZGlkIjoiYzRhY2E2OTBlNDk5NzgyOTEyNmU2MTg2N2ZlNzE5YjkiLCJ1c2VySWQiOiIxNDc1NTMxOTQyIn0=</vt:lpwstr>
  </property>
</Properties>
</file>