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ABB0A" w14:textId="77777777" w:rsidR="004D717A" w:rsidRPr="00DD7EBC" w:rsidRDefault="009B4DFE" w:rsidP="00DD7EBC">
      <w:pPr>
        <w:widowControl/>
        <w:spacing w:line="288" w:lineRule="auto"/>
        <w:jc w:val="center"/>
        <w:rPr>
          <w:rFonts w:ascii="黑体" w:eastAsia="黑体" w:hAnsi="黑体" w:cs="宋体"/>
          <w:b/>
          <w:bCs/>
          <w:color w:val="000000"/>
          <w:sz w:val="32"/>
          <w:szCs w:val="32"/>
          <w:lang w:bidi="ar"/>
        </w:rPr>
      </w:pPr>
      <w:r w:rsidRPr="00DD7EBC">
        <w:rPr>
          <w:rFonts w:ascii="黑体" w:eastAsia="黑体" w:hAnsi="黑体" w:cs="宋体" w:hint="eastAsia"/>
          <w:b/>
          <w:bCs/>
          <w:color w:val="000000"/>
          <w:sz w:val="32"/>
          <w:szCs w:val="32"/>
          <w:lang w:bidi="ar"/>
        </w:rPr>
        <w:t>外国语学院</w:t>
      </w:r>
      <w:r w:rsidRPr="00DD7EBC">
        <w:rPr>
          <w:rFonts w:ascii="黑体" w:eastAsia="黑体" w:hAnsi="黑体" w:cs="宋体" w:hint="eastAsia"/>
          <w:b/>
          <w:bCs/>
          <w:color w:val="000000"/>
          <w:sz w:val="32"/>
          <w:szCs w:val="32"/>
          <w:lang w:bidi="ar"/>
        </w:rPr>
        <w:t>2025</w:t>
      </w:r>
      <w:r w:rsidRPr="00DD7EBC">
        <w:rPr>
          <w:rFonts w:ascii="黑体" w:eastAsia="黑体" w:hAnsi="黑体" w:cs="宋体" w:hint="eastAsia"/>
          <w:b/>
          <w:bCs/>
          <w:color w:val="000000"/>
          <w:sz w:val="32"/>
          <w:szCs w:val="32"/>
          <w:lang w:bidi="ar"/>
        </w:rPr>
        <w:t>级本科生转专业工作方案</w:t>
      </w:r>
    </w:p>
    <w:p w14:paraId="2A67D84E" w14:textId="77777777" w:rsidR="004D717A" w:rsidRDefault="004D717A" w:rsidP="00DD7EBC">
      <w:pPr>
        <w:widowControl/>
        <w:spacing w:line="288" w:lineRule="auto"/>
        <w:jc w:val="center"/>
        <w:rPr>
          <w:rFonts w:ascii="黑体" w:eastAsia="黑体" w:hAnsi="黑体" w:cs="宋体"/>
          <w:b/>
          <w:bCs/>
          <w:color w:val="000000"/>
          <w:sz w:val="28"/>
          <w:szCs w:val="28"/>
          <w:lang w:bidi="ar"/>
        </w:rPr>
      </w:pPr>
    </w:p>
    <w:p w14:paraId="08A2AF93" w14:textId="77777777" w:rsidR="004D717A" w:rsidRDefault="009B4DFE"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为利于学生发展，尊重学生意愿，发挥学生的专业兴趣和专长，促进学生成长成才，按照学校《关于开展</w:t>
      </w:r>
      <w:r>
        <w:rPr>
          <w:rFonts w:ascii="仿宋" w:eastAsia="仿宋" w:hAnsi="仿宋" w:cs="仿宋" w:hint="eastAsia"/>
          <w:color w:val="000000" w:themeColor="text1"/>
          <w:sz w:val="28"/>
          <w:szCs w:val="28"/>
        </w:rPr>
        <w:t>2025</w:t>
      </w:r>
      <w:r>
        <w:rPr>
          <w:rFonts w:ascii="仿宋" w:eastAsia="仿宋" w:hAnsi="仿宋" w:cs="仿宋" w:hint="eastAsia"/>
          <w:color w:val="000000" w:themeColor="text1"/>
          <w:sz w:val="28"/>
          <w:szCs w:val="28"/>
        </w:rPr>
        <w:t>级本科生转专业工作的通知》要求，根据《西华大学全日制本科学生转专业管理办法》的文件精神，结合外国语学院的实际情况，特制定本方案。</w:t>
      </w:r>
    </w:p>
    <w:p w14:paraId="332FD4E4" w14:textId="77777777" w:rsidR="004D717A" w:rsidRDefault="004D717A" w:rsidP="00DD7EBC">
      <w:pPr>
        <w:spacing w:line="288" w:lineRule="auto"/>
        <w:jc w:val="left"/>
        <w:rPr>
          <w:rFonts w:ascii="宋体" w:eastAsia="宋体" w:hAnsi="宋体" w:cs="宋体"/>
          <w:sz w:val="24"/>
        </w:rPr>
      </w:pPr>
    </w:p>
    <w:p w14:paraId="37BC6B27" w14:textId="77777777" w:rsidR="004D717A" w:rsidRDefault="009B4DFE"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一、工作背景与政策变化</w:t>
      </w:r>
    </w:p>
    <w:p w14:paraId="64EB4F48" w14:textId="77777777" w:rsidR="004D717A" w:rsidRDefault="009B4DFE" w:rsidP="00DD7EBC">
      <w:pPr>
        <w:pStyle w:val="a3"/>
        <w:shd w:val="clear" w:color="auto" w:fill="FFFFFF"/>
        <w:spacing w:before="0" w:beforeAutospacing="0" w:after="0" w:afterAutospacing="0" w:line="288" w:lineRule="auto"/>
        <w:ind w:firstLine="60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本次</w:t>
      </w:r>
      <w:r>
        <w:rPr>
          <w:rFonts w:ascii="仿宋" w:eastAsia="仿宋" w:hAnsi="仿宋" w:cs="仿宋" w:hint="eastAsia"/>
          <w:color w:val="000000" w:themeColor="text1"/>
          <w:sz w:val="28"/>
          <w:szCs w:val="28"/>
        </w:rPr>
        <w:t>2025</w:t>
      </w:r>
      <w:r>
        <w:rPr>
          <w:rFonts w:ascii="仿宋" w:eastAsia="仿宋" w:hAnsi="仿宋" w:cs="仿宋" w:hint="eastAsia"/>
          <w:color w:val="000000" w:themeColor="text1"/>
          <w:sz w:val="28"/>
          <w:szCs w:val="28"/>
        </w:rPr>
        <w:t>级学生转专业工作，较往年有以下三点不同：</w:t>
      </w:r>
    </w:p>
    <w:p w14:paraId="6D2FAC2A" w14:textId="77777777" w:rsidR="004D717A" w:rsidRDefault="009B4DFE" w:rsidP="00DD7EBC">
      <w:pPr>
        <w:pStyle w:val="a3"/>
        <w:shd w:val="clear" w:color="auto" w:fill="FFFFFF"/>
        <w:spacing w:before="0" w:beforeAutospacing="0" w:after="0" w:afterAutospacing="0" w:line="288" w:lineRule="auto"/>
        <w:ind w:firstLine="60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一是可以跨校区，学生可根据个人意愿在不同校区间申请转专业；二是无一本和二本专业之分；三是在教务管理系统中进行转专业报名和审核，实现全流程线上办理（申请流程见操作指南）。</w:t>
      </w:r>
    </w:p>
    <w:p w14:paraId="03FBA8DC" w14:textId="77777777" w:rsidR="004D717A" w:rsidRDefault="004D717A" w:rsidP="00DD7EBC">
      <w:pPr>
        <w:pStyle w:val="a3"/>
        <w:shd w:val="clear" w:color="auto" w:fill="FFFFFF"/>
        <w:spacing w:before="0" w:beforeAutospacing="0" w:after="0" w:afterAutospacing="0" w:line="288" w:lineRule="auto"/>
        <w:ind w:firstLine="600"/>
        <w:jc w:val="both"/>
        <w:rPr>
          <w:rFonts w:ascii="仿宋" w:eastAsia="仿宋" w:hAnsi="仿宋" w:cs="仿宋"/>
          <w:color w:val="000000" w:themeColor="text1"/>
          <w:sz w:val="28"/>
          <w:szCs w:val="28"/>
        </w:rPr>
      </w:pPr>
    </w:p>
    <w:p w14:paraId="13F8C227" w14:textId="77777777" w:rsidR="004D717A" w:rsidRDefault="009B4DFE"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二、申请条件</w:t>
      </w:r>
    </w:p>
    <w:p w14:paraId="35C9FC73" w14:textId="77777777" w:rsidR="004D717A" w:rsidRDefault="009B4DFE" w:rsidP="00DD7EBC">
      <w:pPr>
        <w:pStyle w:val="a3"/>
        <w:shd w:val="clear" w:color="auto" w:fill="FFFFFF"/>
        <w:spacing w:before="0" w:beforeAutospacing="0" w:after="0" w:afterAutospacing="0" w:line="288" w:lineRule="auto"/>
        <w:ind w:firstLine="60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申请转专业的学生应符合《西华大学全日制本科学生转专业管理办法》中有关条件要求。</w:t>
      </w:r>
    </w:p>
    <w:p w14:paraId="2A3A329A" w14:textId="77777777" w:rsidR="004D717A" w:rsidRDefault="004D717A" w:rsidP="00DD7EBC">
      <w:pPr>
        <w:pStyle w:val="a3"/>
        <w:shd w:val="clear" w:color="auto" w:fill="FFFFFF"/>
        <w:spacing w:before="0" w:beforeAutospacing="0" w:after="0" w:afterAutospacing="0" w:line="288" w:lineRule="auto"/>
        <w:ind w:firstLine="600"/>
        <w:jc w:val="both"/>
        <w:rPr>
          <w:rFonts w:ascii="仿宋" w:eastAsia="仿宋" w:hAnsi="仿宋" w:cs="仿宋"/>
          <w:color w:val="000000" w:themeColor="text1"/>
          <w:sz w:val="28"/>
          <w:szCs w:val="28"/>
        </w:rPr>
      </w:pPr>
    </w:p>
    <w:p w14:paraId="543AE9D1" w14:textId="77777777" w:rsidR="004D717A" w:rsidRDefault="009B4DFE"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三、接收计划</w:t>
      </w:r>
    </w:p>
    <w:tbl>
      <w:tblPr>
        <w:tblW w:w="8516" w:type="dxa"/>
        <w:jc w:val="center"/>
        <w:tblBorders>
          <w:top w:val="none" w:sz="8" w:space="0" w:color="auto"/>
          <w:left w:val="none" w:sz="8" w:space="0" w:color="auto"/>
          <w:bottom w:val="none" w:sz="8" w:space="0" w:color="auto"/>
          <w:right w:val="none" w:sz="8" w:space="0" w:color="auto"/>
          <w:insideH w:val="none" w:sz="8" w:space="0" w:color="auto"/>
          <w:insideV w:val="none" w:sz="8" w:space="0" w:color="auto"/>
        </w:tblBorders>
        <w:tblCellMar>
          <w:left w:w="0" w:type="dxa"/>
          <w:right w:w="0" w:type="dxa"/>
        </w:tblCellMar>
        <w:tblLook w:val="04A0" w:firstRow="1" w:lastRow="0" w:firstColumn="1" w:lastColumn="0" w:noHBand="0" w:noVBand="1"/>
      </w:tblPr>
      <w:tblGrid>
        <w:gridCol w:w="1077"/>
        <w:gridCol w:w="875"/>
        <w:gridCol w:w="1600"/>
        <w:gridCol w:w="2463"/>
        <w:gridCol w:w="2501"/>
      </w:tblGrid>
      <w:tr w:rsidR="004D717A" w14:paraId="541DE88F" w14:textId="77777777">
        <w:trPr>
          <w:tblHeader/>
          <w:jc w:val="center"/>
        </w:trPr>
        <w:tc>
          <w:tcPr>
            <w:tcW w:w="1077" w:type="dxa"/>
            <w:tcBorders>
              <w:top w:val="single" w:sz="12" w:space="0" w:color="auto"/>
              <w:left w:val="nil"/>
              <w:bottom w:val="nil"/>
              <w:right w:val="nil"/>
            </w:tcBorders>
            <w:shd w:val="clear" w:color="auto" w:fill="EEEEEE"/>
            <w:tcMar>
              <w:top w:w="-1" w:type="dxa"/>
              <w:left w:w="-1" w:type="dxa"/>
              <w:bottom w:w="-1" w:type="dxa"/>
              <w:right w:w="-1" w:type="dxa"/>
            </w:tcMar>
            <w:vAlign w:val="center"/>
          </w:tcPr>
          <w:p w14:paraId="48FAD903" w14:textId="77777777" w:rsidR="004D717A" w:rsidRDefault="009B4DFE" w:rsidP="00DD7EBC">
            <w:pPr>
              <w:snapToGrid w:val="0"/>
              <w:spacing w:line="288" w:lineRule="auto"/>
              <w:jc w:val="center"/>
              <w:rPr>
                <w:rFonts w:ascii="宋体" w:eastAsia="宋体"/>
                <w:b/>
                <w:sz w:val="24"/>
              </w:rPr>
            </w:pPr>
            <w:r>
              <w:rPr>
                <w:rFonts w:ascii="宋体" w:eastAsia="宋体" w:hAnsi="宋体" w:cs="宋体"/>
                <w:b/>
                <w:sz w:val="24"/>
              </w:rPr>
              <w:t>年级</w:t>
            </w:r>
          </w:p>
        </w:tc>
        <w:tc>
          <w:tcPr>
            <w:tcW w:w="875" w:type="dxa"/>
            <w:tcBorders>
              <w:top w:val="single" w:sz="12" w:space="0" w:color="auto"/>
              <w:left w:val="nil"/>
              <w:bottom w:val="nil"/>
              <w:right w:val="nil"/>
            </w:tcBorders>
            <w:shd w:val="clear" w:color="auto" w:fill="EEEEEE"/>
            <w:tcMar>
              <w:top w:w="-1" w:type="dxa"/>
              <w:left w:w="-1" w:type="dxa"/>
              <w:bottom w:w="-1" w:type="dxa"/>
              <w:right w:w="-1" w:type="dxa"/>
            </w:tcMar>
            <w:vAlign w:val="center"/>
          </w:tcPr>
          <w:p w14:paraId="3D68B1CE" w14:textId="77777777" w:rsidR="004D717A" w:rsidRDefault="009B4DFE" w:rsidP="00DD7EBC">
            <w:pPr>
              <w:snapToGrid w:val="0"/>
              <w:spacing w:line="288" w:lineRule="auto"/>
              <w:jc w:val="center"/>
              <w:rPr>
                <w:rFonts w:ascii="宋体" w:eastAsia="宋体"/>
                <w:b/>
                <w:sz w:val="24"/>
              </w:rPr>
            </w:pPr>
            <w:r>
              <w:rPr>
                <w:rFonts w:ascii="宋体" w:eastAsia="宋体" w:hAnsi="宋体" w:cs="宋体"/>
                <w:b/>
                <w:sz w:val="24"/>
              </w:rPr>
              <w:t>专业</w:t>
            </w:r>
          </w:p>
        </w:tc>
        <w:tc>
          <w:tcPr>
            <w:tcW w:w="1600" w:type="dxa"/>
            <w:tcBorders>
              <w:top w:val="single" w:sz="12" w:space="0" w:color="auto"/>
              <w:left w:val="nil"/>
              <w:bottom w:val="nil"/>
              <w:right w:val="nil"/>
            </w:tcBorders>
            <w:shd w:val="clear" w:color="auto" w:fill="EEEEEE"/>
            <w:tcMar>
              <w:top w:w="-1" w:type="dxa"/>
              <w:left w:w="-1" w:type="dxa"/>
              <w:bottom w:w="-1" w:type="dxa"/>
              <w:right w:w="-1" w:type="dxa"/>
            </w:tcMar>
            <w:vAlign w:val="center"/>
          </w:tcPr>
          <w:p w14:paraId="0483F828" w14:textId="77777777" w:rsidR="004D717A" w:rsidRDefault="009B4DFE" w:rsidP="00DD7EBC">
            <w:pPr>
              <w:snapToGrid w:val="0"/>
              <w:spacing w:line="288" w:lineRule="auto"/>
              <w:jc w:val="center"/>
              <w:rPr>
                <w:rFonts w:ascii="宋体" w:eastAsia="宋体"/>
                <w:b/>
                <w:sz w:val="24"/>
              </w:rPr>
            </w:pPr>
            <w:r>
              <w:rPr>
                <w:rFonts w:ascii="宋体" w:eastAsia="宋体" w:hAnsi="宋体" w:cs="宋体"/>
                <w:b/>
                <w:sz w:val="24"/>
              </w:rPr>
              <w:t>在校生人数</w:t>
            </w:r>
          </w:p>
        </w:tc>
        <w:tc>
          <w:tcPr>
            <w:tcW w:w="2463" w:type="dxa"/>
            <w:tcBorders>
              <w:top w:val="single" w:sz="12" w:space="0" w:color="auto"/>
              <w:left w:val="nil"/>
              <w:bottom w:val="nil"/>
              <w:right w:val="nil"/>
            </w:tcBorders>
            <w:shd w:val="clear" w:color="auto" w:fill="EEEEEE"/>
            <w:tcMar>
              <w:top w:w="-1" w:type="dxa"/>
              <w:left w:w="-1" w:type="dxa"/>
              <w:bottom w:w="-1" w:type="dxa"/>
              <w:right w:w="-1" w:type="dxa"/>
            </w:tcMar>
            <w:vAlign w:val="center"/>
          </w:tcPr>
          <w:p w14:paraId="0708EB73" w14:textId="77777777" w:rsidR="004D717A" w:rsidRDefault="009B4DFE" w:rsidP="00DD7EBC">
            <w:pPr>
              <w:snapToGrid w:val="0"/>
              <w:spacing w:line="288" w:lineRule="auto"/>
              <w:jc w:val="center"/>
              <w:rPr>
                <w:rFonts w:ascii="宋体" w:eastAsia="宋体"/>
                <w:b/>
                <w:sz w:val="24"/>
              </w:rPr>
            </w:pPr>
            <w:r>
              <w:rPr>
                <w:rFonts w:ascii="宋体" w:eastAsia="宋体" w:hAnsi="宋体" w:cs="宋体"/>
                <w:b/>
                <w:sz w:val="24"/>
              </w:rPr>
              <w:t>拟接收学生数上限</w:t>
            </w:r>
          </w:p>
        </w:tc>
        <w:tc>
          <w:tcPr>
            <w:tcW w:w="2501" w:type="dxa"/>
            <w:tcBorders>
              <w:top w:val="single" w:sz="12" w:space="0" w:color="auto"/>
              <w:left w:val="nil"/>
              <w:bottom w:val="nil"/>
              <w:right w:val="nil"/>
            </w:tcBorders>
            <w:shd w:val="clear" w:color="auto" w:fill="EEEEEE"/>
            <w:tcMar>
              <w:top w:w="-1" w:type="dxa"/>
              <w:left w:w="-1" w:type="dxa"/>
              <w:bottom w:w="-1" w:type="dxa"/>
              <w:right w:w="-1" w:type="dxa"/>
            </w:tcMar>
            <w:vAlign w:val="center"/>
          </w:tcPr>
          <w:p w14:paraId="3BF3829C" w14:textId="77777777" w:rsidR="004D717A" w:rsidRDefault="009B4DFE" w:rsidP="00DD7EBC">
            <w:pPr>
              <w:snapToGrid w:val="0"/>
              <w:spacing w:line="288" w:lineRule="auto"/>
              <w:jc w:val="center"/>
              <w:rPr>
                <w:rFonts w:ascii="宋体" w:eastAsia="宋体"/>
                <w:b/>
                <w:sz w:val="24"/>
              </w:rPr>
            </w:pPr>
            <w:r>
              <w:rPr>
                <w:rFonts w:ascii="宋体" w:eastAsia="宋体" w:hAnsi="宋体" w:cs="宋体" w:hint="eastAsia"/>
                <w:b/>
                <w:sz w:val="24"/>
              </w:rPr>
              <w:t>允许转出学生上限</w:t>
            </w:r>
          </w:p>
        </w:tc>
      </w:tr>
      <w:tr w:rsidR="004D717A" w14:paraId="58FE616B" w14:textId="77777777">
        <w:trPr>
          <w:jc w:val="center"/>
        </w:trPr>
        <w:tc>
          <w:tcPr>
            <w:tcW w:w="1077" w:type="dxa"/>
            <w:tcBorders>
              <w:top w:val="single" w:sz="4" w:space="0" w:color="auto"/>
              <w:left w:val="nil"/>
              <w:bottom w:val="nil"/>
              <w:right w:val="nil"/>
            </w:tcBorders>
            <w:tcMar>
              <w:top w:w="-1" w:type="dxa"/>
              <w:left w:w="-1" w:type="dxa"/>
              <w:bottom w:w="-1" w:type="dxa"/>
              <w:right w:w="-1" w:type="dxa"/>
            </w:tcMar>
            <w:vAlign w:val="center"/>
          </w:tcPr>
          <w:p w14:paraId="77E47D19"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2025</w:t>
            </w:r>
            <w:r>
              <w:rPr>
                <w:rFonts w:ascii="宋体" w:eastAsia="宋体" w:hAnsi="宋体" w:cs="宋体"/>
                <w:sz w:val="24"/>
              </w:rPr>
              <w:t>级</w:t>
            </w:r>
          </w:p>
        </w:tc>
        <w:tc>
          <w:tcPr>
            <w:tcW w:w="875" w:type="dxa"/>
            <w:tcBorders>
              <w:top w:val="single" w:sz="4" w:space="0" w:color="auto"/>
              <w:left w:val="nil"/>
              <w:bottom w:val="nil"/>
              <w:right w:val="nil"/>
            </w:tcBorders>
            <w:tcMar>
              <w:top w:w="-1" w:type="dxa"/>
              <w:left w:w="-1" w:type="dxa"/>
              <w:bottom w:w="-1" w:type="dxa"/>
              <w:right w:w="-1" w:type="dxa"/>
            </w:tcMar>
            <w:vAlign w:val="center"/>
          </w:tcPr>
          <w:p w14:paraId="57C0F83C"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英语</w:t>
            </w:r>
          </w:p>
        </w:tc>
        <w:tc>
          <w:tcPr>
            <w:tcW w:w="1600" w:type="dxa"/>
            <w:tcBorders>
              <w:top w:val="single" w:sz="4" w:space="0" w:color="auto"/>
              <w:left w:val="nil"/>
              <w:bottom w:val="nil"/>
              <w:right w:val="nil"/>
            </w:tcBorders>
            <w:tcMar>
              <w:top w:w="-1" w:type="dxa"/>
              <w:left w:w="-1" w:type="dxa"/>
              <w:bottom w:w="-1" w:type="dxa"/>
              <w:right w:w="-1" w:type="dxa"/>
            </w:tcMar>
            <w:vAlign w:val="center"/>
          </w:tcPr>
          <w:p w14:paraId="2592F612"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98</w:t>
            </w:r>
          </w:p>
        </w:tc>
        <w:tc>
          <w:tcPr>
            <w:tcW w:w="2463" w:type="dxa"/>
            <w:tcBorders>
              <w:top w:val="single" w:sz="4" w:space="0" w:color="auto"/>
              <w:left w:val="nil"/>
              <w:bottom w:val="nil"/>
              <w:right w:val="nil"/>
            </w:tcBorders>
            <w:tcMar>
              <w:top w:w="-1" w:type="dxa"/>
              <w:left w:w="-1" w:type="dxa"/>
              <w:bottom w:w="-1" w:type="dxa"/>
              <w:right w:w="-1" w:type="dxa"/>
            </w:tcMar>
            <w:vAlign w:val="center"/>
          </w:tcPr>
          <w:p w14:paraId="50AED9A2"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24</w:t>
            </w:r>
          </w:p>
        </w:tc>
        <w:tc>
          <w:tcPr>
            <w:tcW w:w="2501" w:type="dxa"/>
            <w:tcBorders>
              <w:top w:val="single" w:sz="4" w:space="0" w:color="auto"/>
              <w:left w:val="nil"/>
              <w:bottom w:val="nil"/>
              <w:right w:val="nil"/>
            </w:tcBorders>
            <w:tcMar>
              <w:top w:w="-1" w:type="dxa"/>
              <w:left w:w="-1" w:type="dxa"/>
              <w:bottom w:w="-1" w:type="dxa"/>
              <w:right w:w="-1" w:type="dxa"/>
            </w:tcMar>
            <w:vAlign w:val="center"/>
          </w:tcPr>
          <w:p w14:paraId="2B7FCFE8" w14:textId="77777777" w:rsidR="004D717A" w:rsidRDefault="009B4DFE" w:rsidP="00DD7EBC">
            <w:pPr>
              <w:snapToGrid w:val="0"/>
              <w:spacing w:line="288" w:lineRule="auto"/>
              <w:jc w:val="center"/>
              <w:rPr>
                <w:rFonts w:ascii="宋体" w:eastAsia="宋体"/>
                <w:sz w:val="24"/>
              </w:rPr>
            </w:pPr>
            <w:r>
              <w:rPr>
                <w:rFonts w:ascii="宋体" w:eastAsia="宋体" w:hAnsi="宋体" w:cs="宋体" w:hint="eastAsia"/>
                <w:sz w:val="24"/>
              </w:rPr>
              <w:t>29</w:t>
            </w:r>
          </w:p>
        </w:tc>
      </w:tr>
      <w:tr w:rsidR="004D717A" w14:paraId="73BB93CB" w14:textId="77777777">
        <w:trPr>
          <w:jc w:val="center"/>
        </w:trPr>
        <w:tc>
          <w:tcPr>
            <w:tcW w:w="1077" w:type="dxa"/>
            <w:tcBorders>
              <w:top w:val="nil"/>
              <w:left w:val="nil"/>
              <w:bottom w:val="nil"/>
              <w:right w:val="nil"/>
            </w:tcBorders>
            <w:tcMar>
              <w:top w:w="-1" w:type="dxa"/>
              <w:left w:w="-1" w:type="dxa"/>
              <w:bottom w:w="-1" w:type="dxa"/>
              <w:right w:w="-1" w:type="dxa"/>
            </w:tcMar>
            <w:vAlign w:val="center"/>
          </w:tcPr>
          <w:p w14:paraId="6B5BF093"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2025</w:t>
            </w:r>
            <w:r>
              <w:rPr>
                <w:rFonts w:ascii="宋体" w:eastAsia="宋体" w:hAnsi="宋体" w:cs="宋体"/>
                <w:sz w:val="24"/>
              </w:rPr>
              <w:t>级</w:t>
            </w:r>
          </w:p>
        </w:tc>
        <w:tc>
          <w:tcPr>
            <w:tcW w:w="875" w:type="dxa"/>
            <w:tcBorders>
              <w:top w:val="nil"/>
              <w:left w:val="nil"/>
              <w:bottom w:val="nil"/>
              <w:right w:val="nil"/>
            </w:tcBorders>
            <w:tcMar>
              <w:top w:w="-1" w:type="dxa"/>
              <w:left w:w="-1" w:type="dxa"/>
              <w:bottom w:w="-1" w:type="dxa"/>
              <w:right w:w="-1" w:type="dxa"/>
            </w:tcMar>
            <w:vAlign w:val="center"/>
          </w:tcPr>
          <w:p w14:paraId="12A9658D"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日语</w:t>
            </w:r>
          </w:p>
        </w:tc>
        <w:tc>
          <w:tcPr>
            <w:tcW w:w="1600" w:type="dxa"/>
            <w:tcBorders>
              <w:top w:val="nil"/>
              <w:left w:val="nil"/>
              <w:bottom w:val="nil"/>
              <w:right w:val="nil"/>
            </w:tcBorders>
            <w:tcMar>
              <w:top w:w="-1" w:type="dxa"/>
              <w:left w:w="-1" w:type="dxa"/>
              <w:bottom w:w="-1" w:type="dxa"/>
              <w:right w:w="-1" w:type="dxa"/>
            </w:tcMar>
            <w:vAlign w:val="center"/>
          </w:tcPr>
          <w:p w14:paraId="5E98DFFD"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59</w:t>
            </w:r>
          </w:p>
        </w:tc>
        <w:tc>
          <w:tcPr>
            <w:tcW w:w="2463" w:type="dxa"/>
            <w:tcBorders>
              <w:top w:val="nil"/>
              <w:left w:val="nil"/>
              <w:bottom w:val="nil"/>
              <w:right w:val="nil"/>
            </w:tcBorders>
            <w:tcMar>
              <w:top w:w="-1" w:type="dxa"/>
              <w:left w:w="-1" w:type="dxa"/>
              <w:bottom w:w="-1" w:type="dxa"/>
              <w:right w:w="-1" w:type="dxa"/>
            </w:tcMar>
            <w:vAlign w:val="center"/>
          </w:tcPr>
          <w:p w14:paraId="53D4B792"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14</w:t>
            </w:r>
          </w:p>
        </w:tc>
        <w:tc>
          <w:tcPr>
            <w:tcW w:w="2501" w:type="dxa"/>
            <w:tcBorders>
              <w:top w:val="nil"/>
              <w:left w:val="nil"/>
              <w:bottom w:val="nil"/>
              <w:right w:val="nil"/>
            </w:tcBorders>
            <w:tcMar>
              <w:top w:w="-1" w:type="dxa"/>
              <w:left w:w="-1" w:type="dxa"/>
              <w:bottom w:w="-1" w:type="dxa"/>
              <w:right w:w="-1" w:type="dxa"/>
            </w:tcMar>
            <w:vAlign w:val="center"/>
          </w:tcPr>
          <w:p w14:paraId="59736A29" w14:textId="77777777" w:rsidR="004D717A" w:rsidRDefault="009B4DFE" w:rsidP="00DD7EBC">
            <w:pPr>
              <w:snapToGrid w:val="0"/>
              <w:spacing w:line="288" w:lineRule="auto"/>
              <w:jc w:val="center"/>
              <w:rPr>
                <w:rFonts w:ascii="宋体" w:eastAsia="宋体"/>
                <w:sz w:val="24"/>
              </w:rPr>
            </w:pPr>
            <w:r>
              <w:rPr>
                <w:rFonts w:ascii="宋体" w:eastAsia="宋体" w:hAnsi="宋体" w:cs="宋体" w:hint="eastAsia"/>
                <w:sz w:val="24"/>
              </w:rPr>
              <w:t>17</w:t>
            </w:r>
          </w:p>
        </w:tc>
      </w:tr>
      <w:tr w:rsidR="004D717A" w14:paraId="28FE17AB" w14:textId="77777777">
        <w:trPr>
          <w:jc w:val="center"/>
        </w:trPr>
        <w:tc>
          <w:tcPr>
            <w:tcW w:w="1077" w:type="dxa"/>
            <w:tcBorders>
              <w:top w:val="nil"/>
              <w:left w:val="nil"/>
              <w:bottom w:val="single" w:sz="12" w:space="0" w:color="auto"/>
              <w:right w:val="nil"/>
            </w:tcBorders>
            <w:tcMar>
              <w:top w:w="-1" w:type="dxa"/>
              <w:left w:w="-1" w:type="dxa"/>
              <w:bottom w:w="-1" w:type="dxa"/>
              <w:right w:w="-1" w:type="dxa"/>
            </w:tcMar>
            <w:vAlign w:val="center"/>
          </w:tcPr>
          <w:p w14:paraId="7376BF9E"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2025</w:t>
            </w:r>
            <w:r>
              <w:rPr>
                <w:rFonts w:ascii="宋体" w:eastAsia="宋体" w:hAnsi="宋体" w:cs="宋体"/>
                <w:sz w:val="24"/>
              </w:rPr>
              <w:t>级</w:t>
            </w:r>
          </w:p>
        </w:tc>
        <w:tc>
          <w:tcPr>
            <w:tcW w:w="875" w:type="dxa"/>
            <w:tcBorders>
              <w:top w:val="nil"/>
              <w:left w:val="nil"/>
              <w:bottom w:val="single" w:sz="12" w:space="0" w:color="auto"/>
              <w:right w:val="nil"/>
            </w:tcBorders>
            <w:tcMar>
              <w:top w:w="-1" w:type="dxa"/>
              <w:left w:w="-1" w:type="dxa"/>
              <w:bottom w:w="-1" w:type="dxa"/>
              <w:right w:w="-1" w:type="dxa"/>
            </w:tcMar>
            <w:vAlign w:val="center"/>
          </w:tcPr>
          <w:p w14:paraId="4E476E0D"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翻译</w:t>
            </w:r>
          </w:p>
        </w:tc>
        <w:tc>
          <w:tcPr>
            <w:tcW w:w="1600" w:type="dxa"/>
            <w:tcBorders>
              <w:top w:val="nil"/>
              <w:left w:val="nil"/>
              <w:bottom w:val="single" w:sz="12" w:space="0" w:color="auto"/>
              <w:right w:val="nil"/>
            </w:tcBorders>
            <w:tcMar>
              <w:top w:w="-1" w:type="dxa"/>
              <w:left w:w="-1" w:type="dxa"/>
              <w:bottom w:w="-1" w:type="dxa"/>
              <w:right w:w="-1" w:type="dxa"/>
            </w:tcMar>
            <w:vAlign w:val="center"/>
          </w:tcPr>
          <w:p w14:paraId="57ED56D0"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96</w:t>
            </w:r>
          </w:p>
        </w:tc>
        <w:tc>
          <w:tcPr>
            <w:tcW w:w="2463" w:type="dxa"/>
            <w:tcBorders>
              <w:top w:val="nil"/>
              <w:left w:val="nil"/>
              <w:bottom w:val="single" w:sz="12" w:space="0" w:color="auto"/>
              <w:right w:val="nil"/>
            </w:tcBorders>
            <w:tcMar>
              <w:top w:w="-1" w:type="dxa"/>
              <w:left w:w="-1" w:type="dxa"/>
              <w:bottom w:w="-1" w:type="dxa"/>
              <w:right w:w="-1" w:type="dxa"/>
            </w:tcMar>
            <w:vAlign w:val="center"/>
          </w:tcPr>
          <w:p w14:paraId="65DB4F71" w14:textId="77777777" w:rsidR="004D717A" w:rsidRDefault="009B4DFE" w:rsidP="00DD7EBC">
            <w:pPr>
              <w:snapToGrid w:val="0"/>
              <w:spacing w:line="288" w:lineRule="auto"/>
              <w:jc w:val="center"/>
              <w:rPr>
                <w:rFonts w:ascii="宋体" w:eastAsia="宋体"/>
                <w:sz w:val="24"/>
              </w:rPr>
            </w:pPr>
            <w:r>
              <w:rPr>
                <w:rFonts w:ascii="宋体" w:eastAsia="宋体" w:hAnsi="宋体" w:cs="宋体"/>
                <w:sz w:val="24"/>
              </w:rPr>
              <w:t>24</w:t>
            </w:r>
          </w:p>
        </w:tc>
        <w:tc>
          <w:tcPr>
            <w:tcW w:w="2501" w:type="dxa"/>
            <w:tcBorders>
              <w:top w:val="nil"/>
              <w:left w:val="nil"/>
              <w:bottom w:val="single" w:sz="12" w:space="0" w:color="auto"/>
              <w:right w:val="nil"/>
            </w:tcBorders>
            <w:tcMar>
              <w:top w:w="-1" w:type="dxa"/>
              <w:left w:w="-1" w:type="dxa"/>
              <w:bottom w:w="-1" w:type="dxa"/>
              <w:right w:w="-1" w:type="dxa"/>
            </w:tcMar>
            <w:vAlign w:val="center"/>
          </w:tcPr>
          <w:p w14:paraId="531DA3FA" w14:textId="77777777" w:rsidR="004D717A" w:rsidRDefault="009B4DFE" w:rsidP="00DD7EBC">
            <w:pPr>
              <w:snapToGrid w:val="0"/>
              <w:spacing w:line="288" w:lineRule="auto"/>
              <w:jc w:val="center"/>
              <w:rPr>
                <w:rFonts w:ascii="宋体" w:eastAsia="宋体"/>
                <w:sz w:val="24"/>
              </w:rPr>
            </w:pPr>
            <w:r>
              <w:rPr>
                <w:rFonts w:ascii="宋体" w:eastAsia="宋体" w:hAnsi="宋体" w:cs="宋体" w:hint="eastAsia"/>
                <w:sz w:val="24"/>
              </w:rPr>
              <w:t>28</w:t>
            </w:r>
          </w:p>
        </w:tc>
      </w:tr>
    </w:tbl>
    <w:p w14:paraId="3801EF4E" w14:textId="77777777" w:rsidR="004D717A" w:rsidRDefault="009B4DFE"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注：其他类型（如学科专长、特殊困难等）转专业按《西华大学全日制本科学生转专业管理办法》执行。</w:t>
      </w:r>
    </w:p>
    <w:p w14:paraId="23339C34" w14:textId="77777777" w:rsidR="004D717A" w:rsidRDefault="004D717A" w:rsidP="00DD7EBC">
      <w:pPr>
        <w:spacing w:line="288" w:lineRule="auto"/>
        <w:jc w:val="left"/>
        <w:rPr>
          <w:rFonts w:ascii="宋体" w:eastAsia="宋体" w:hAnsi="宋体" w:cs="宋体"/>
          <w:sz w:val="24"/>
        </w:rPr>
      </w:pPr>
    </w:p>
    <w:p w14:paraId="109D5264" w14:textId="77777777" w:rsidR="004D717A" w:rsidRDefault="009B4DFE"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四、转入我院专业条件</w:t>
      </w:r>
    </w:p>
    <w:p w14:paraId="09AF5AF3" w14:textId="77777777" w:rsidR="004D717A" w:rsidRDefault="009B4DFE"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8"/>
        </w:rPr>
        <w:t>、符合《西华大学全日制本科学生转专业管理办法》</w:t>
      </w:r>
      <w:r>
        <w:rPr>
          <w:rFonts w:ascii="仿宋" w:eastAsia="仿宋" w:hAnsi="仿宋" w:cs="仿宋" w:hint="eastAsia"/>
          <w:color w:val="000000" w:themeColor="text1"/>
          <w:sz w:val="28"/>
          <w:szCs w:val="28"/>
        </w:rPr>
        <w:t>文件中第三章第七条关于</w:t>
      </w:r>
      <w:r>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学业类</w:t>
      </w:r>
      <w:r>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或</w:t>
      </w:r>
      <w:r>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其他类别</w:t>
      </w:r>
      <w:r>
        <w:rPr>
          <w:rFonts w:ascii="仿宋" w:eastAsia="仿宋" w:hAnsi="仿宋" w:cs="仿宋" w:hint="eastAsia"/>
          <w:color w:val="000000" w:themeColor="text1"/>
          <w:sz w:val="28"/>
          <w:szCs w:val="28"/>
        </w:rPr>
        <w:t>"</w:t>
      </w:r>
      <w:r>
        <w:rPr>
          <w:rFonts w:ascii="仿宋" w:eastAsia="仿宋" w:hAnsi="仿宋" w:cs="仿宋" w:hint="eastAsia"/>
          <w:color w:val="000000" w:themeColor="text1"/>
          <w:sz w:val="28"/>
          <w:szCs w:val="28"/>
        </w:rPr>
        <w:t>的要求；非外语类专业转郫都</w:t>
      </w:r>
      <w:r>
        <w:rPr>
          <w:rFonts w:ascii="仿宋" w:eastAsia="仿宋" w:hAnsi="仿宋" w:cs="仿宋"/>
          <w:color w:val="000000" w:themeColor="text1"/>
          <w:sz w:val="28"/>
          <w:szCs w:val="28"/>
        </w:rPr>
        <w:t>校区</w:t>
      </w:r>
      <w:r>
        <w:rPr>
          <w:rFonts w:ascii="仿宋" w:eastAsia="仿宋" w:hAnsi="仿宋" w:cs="仿宋" w:hint="eastAsia"/>
          <w:color w:val="000000" w:themeColor="text1"/>
          <w:sz w:val="28"/>
          <w:szCs w:val="28"/>
        </w:rPr>
        <w:t>英语专业需大学英语</w:t>
      </w:r>
      <w:r>
        <w:rPr>
          <w:rFonts w:ascii="仿宋" w:eastAsia="仿宋" w:hAnsi="仿宋" w:cs="仿宋"/>
          <w:color w:val="000000" w:themeColor="text1"/>
          <w:sz w:val="28"/>
          <w:szCs w:val="28"/>
        </w:rPr>
        <w:t>4</w:t>
      </w:r>
      <w:r>
        <w:rPr>
          <w:rFonts w:ascii="仿宋" w:eastAsia="仿宋" w:hAnsi="仿宋" w:cs="仿宋"/>
          <w:color w:val="000000" w:themeColor="text1"/>
          <w:sz w:val="28"/>
          <w:szCs w:val="28"/>
        </w:rPr>
        <w:t>级</w:t>
      </w:r>
      <w:r>
        <w:rPr>
          <w:rFonts w:ascii="仿宋" w:eastAsia="仿宋" w:hAnsi="仿宋" w:cs="仿宋"/>
          <w:color w:val="000000" w:themeColor="text1"/>
          <w:sz w:val="28"/>
          <w:szCs w:val="28"/>
        </w:rPr>
        <w:t>500</w:t>
      </w:r>
      <w:r>
        <w:rPr>
          <w:rFonts w:ascii="仿宋" w:eastAsia="仿宋" w:hAnsi="仿宋" w:cs="仿宋"/>
          <w:color w:val="000000" w:themeColor="text1"/>
          <w:sz w:val="28"/>
          <w:szCs w:val="28"/>
        </w:rPr>
        <w:t>分以上</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雅思</w:t>
      </w:r>
      <w:r>
        <w:rPr>
          <w:rFonts w:ascii="仿宋" w:eastAsia="仿宋" w:hAnsi="仿宋" w:cs="仿宋"/>
          <w:color w:val="000000" w:themeColor="text1"/>
          <w:sz w:val="28"/>
          <w:szCs w:val="28"/>
        </w:rPr>
        <w:t>6.0</w:t>
      </w:r>
      <w:r>
        <w:rPr>
          <w:rFonts w:ascii="仿宋" w:eastAsia="仿宋" w:hAnsi="仿宋" w:cs="仿宋"/>
          <w:color w:val="000000" w:themeColor="text1"/>
          <w:sz w:val="28"/>
          <w:szCs w:val="28"/>
        </w:rPr>
        <w:t>以上</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托福</w:t>
      </w:r>
      <w:r>
        <w:rPr>
          <w:rFonts w:ascii="仿宋" w:eastAsia="仿宋" w:hAnsi="仿宋" w:cs="仿宋" w:hint="eastAsia"/>
          <w:color w:val="000000" w:themeColor="text1"/>
          <w:sz w:val="28"/>
          <w:szCs w:val="28"/>
        </w:rPr>
        <w:t>8</w:t>
      </w:r>
      <w:r>
        <w:rPr>
          <w:rFonts w:ascii="仿宋" w:eastAsia="仿宋" w:hAnsi="仿宋" w:cs="仿宋"/>
          <w:color w:val="000000" w:themeColor="text1"/>
          <w:sz w:val="28"/>
          <w:szCs w:val="28"/>
        </w:rPr>
        <w:t>0</w:t>
      </w:r>
      <w:r>
        <w:rPr>
          <w:rFonts w:ascii="仿宋" w:eastAsia="仿宋" w:hAnsi="仿宋" w:cs="仿宋" w:hint="eastAsia"/>
          <w:color w:val="000000" w:themeColor="text1"/>
          <w:sz w:val="28"/>
          <w:szCs w:val="28"/>
        </w:rPr>
        <w:t>以上或者</w:t>
      </w:r>
      <w:r>
        <w:rPr>
          <w:rFonts w:ascii="仿宋" w:eastAsia="仿宋" w:hAnsi="仿宋" w:cs="仿宋"/>
          <w:color w:val="000000" w:themeColor="text1"/>
          <w:sz w:val="28"/>
          <w:szCs w:val="28"/>
        </w:rPr>
        <w:t>高考语言成绩</w:t>
      </w:r>
      <w:r>
        <w:rPr>
          <w:rFonts w:ascii="仿宋" w:eastAsia="仿宋" w:hAnsi="仿宋" w:cs="仿宋"/>
          <w:color w:val="000000" w:themeColor="text1"/>
          <w:sz w:val="28"/>
          <w:szCs w:val="28"/>
        </w:rPr>
        <w:t>105</w:t>
      </w:r>
      <w:r>
        <w:rPr>
          <w:rFonts w:ascii="仿宋" w:eastAsia="仿宋" w:hAnsi="仿宋" w:cs="仿宋" w:hint="eastAsia"/>
          <w:color w:val="000000" w:themeColor="text1"/>
          <w:sz w:val="28"/>
          <w:szCs w:val="28"/>
        </w:rPr>
        <w:t>以上</w:t>
      </w:r>
    </w:p>
    <w:p w14:paraId="535BDAC3" w14:textId="77777777" w:rsidR="004D717A" w:rsidRDefault="009B4DFE"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lastRenderedPageBreak/>
        <w:t>2</w:t>
      </w:r>
      <w:r>
        <w:rPr>
          <w:rFonts w:ascii="仿宋" w:eastAsia="仿宋" w:hAnsi="仿宋" w:cs="仿宋" w:hint="eastAsia"/>
          <w:color w:val="000000" w:themeColor="text1"/>
          <w:sz w:val="28"/>
          <w:szCs w:val="28"/>
        </w:rPr>
        <w:t>、考核要求</w:t>
      </w:r>
      <w:r>
        <w:rPr>
          <w:rFonts w:ascii="仿宋" w:eastAsia="仿宋" w:hAnsi="仿宋" w:cs="仿宋" w:hint="eastAsia"/>
          <w:color w:val="000000" w:themeColor="text1"/>
          <w:sz w:val="28"/>
          <w:szCs w:val="28"/>
        </w:rPr>
        <w:t>：</w:t>
      </w:r>
    </w:p>
    <w:p w14:paraId="09C5F129" w14:textId="77777777" w:rsidR="004D717A" w:rsidRDefault="009B4DFE"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参加由外国语学院组织的外语综合面试，根据面试成绩从高到低依次录取。面试的具体时间、地点及名单待通知。</w:t>
      </w:r>
    </w:p>
    <w:p w14:paraId="3B4349BF" w14:textId="77777777" w:rsidR="00DD7EBC" w:rsidRDefault="00DD7EBC"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p>
    <w:p w14:paraId="30096C74" w14:textId="59235366" w:rsidR="004D717A" w:rsidRDefault="009B4DFE"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五、转出我院专业条件</w:t>
      </w:r>
    </w:p>
    <w:p w14:paraId="74E5EFCD" w14:textId="77777777" w:rsidR="004D717A" w:rsidRDefault="009B4DFE"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符合《西华大学全日制本科学生转专业管理办法》文件要求。</w:t>
      </w:r>
    </w:p>
    <w:p w14:paraId="1CD850D3" w14:textId="77777777" w:rsidR="004D717A" w:rsidRDefault="004D717A" w:rsidP="00DD7EBC">
      <w:pPr>
        <w:spacing w:line="288" w:lineRule="auto"/>
        <w:jc w:val="left"/>
        <w:rPr>
          <w:rFonts w:ascii="宋体" w:eastAsia="宋体" w:hAnsi="宋体" w:cs="宋体"/>
          <w:sz w:val="24"/>
        </w:rPr>
      </w:pPr>
    </w:p>
    <w:p w14:paraId="4946FA55" w14:textId="77777777" w:rsidR="004D717A" w:rsidRDefault="009B4DFE"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六、学院公示</w:t>
      </w:r>
    </w:p>
    <w:p w14:paraId="167C0FCA" w14:textId="77777777" w:rsidR="004D717A" w:rsidRDefault="009B4DFE"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拟接收名单经外国语学院转专业工作考核小组审核后在学院网站公示，公示时间为</w:t>
      </w:r>
      <w:r>
        <w:rPr>
          <w:rFonts w:ascii="仿宋" w:eastAsia="仿宋" w:hAnsi="仿宋" w:cs="仿宋" w:hint="eastAsia"/>
          <w:color w:val="000000" w:themeColor="text1"/>
          <w:sz w:val="28"/>
          <w:szCs w:val="28"/>
        </w:rPr>
        <w:t>5</w:t>
      </w:r>
      <w:r>
        <w:rPr>
          <w:rFonts w:ascii="仿宋" w:eastAsia="仿宋" w:hAnsi="仿宋" w:cs="仿宋" w:hint="eastAsia"/>
          <w:color w:val="000000" w:themeColor="text1"/>
          <w:sz w:val="28"/>
          <w:szCs w:val="28"/>
        </w:rPr>
        <w:t>个工作日。公示期内自愿放弃转专业的，学院可根据考核办法依次进行补录。经学院公示无异议后，将拟接收学生名单报教务处。</w:t>
      </w:r>
    </w:p>
    <w:p w14:paraId="314A2A75" w14:textId="77777777" w:rsidR="004D717A" w:rsidRDefault="004D717A" w:rsidP="00DD7EBC">
      <w:pPr>
        <w:pStyle w:val="a3"/>
        <w:shd w:val="clear" w:color="auto" w:fill="FFFFFF"/>
        <w:spacing w:before="0" w:beforeAutospacing="0" w:after="0" w:afterAutospacing="0" w:line="288" w:lineRule="auto"/>
        <w:ind w:firstLineChars="200" w:firstLine="560"/>
        <w:jc w:val="both"/>
        <w:rPr>
          <w:rFonts w:ascii="仿宋" w:eastAsia="仿宋" w:hAnsi="仿宋" w:cs="仿宋"/>
          <w:color w:val="000000" w:themeColor="text1"/>
          <w:sz w:val="28"/>
          <w:szCs w:val="28"/>
        </w:rPr>
      </w:pPr>
    </w:p>
    <w:p w14:paraId="5D8C2A05" w14:textId="77777777" w:rsidR="004D717A" w:rsidRDefault="009B4DFE" w:rsidP="00DD7EBC">
      <w:pPr>
        <w:pStyle w:val="a3"/>
        <w:shd w:val="clear" w:color="auto" w:fill="FFFFFF"/>
        <w:spacing w:before="0" w:beforeAutospacing="0" w:after="0" w:afterAutospacing="0" w:line="288" w:lineRule="auto"/>
        <w:rPr>
          <w:rFonts w:ascii="仿宋" w:eastAsia="仿宋" w:hAnsi="仿宋" w:cs="仿宋"/>
          <w:color w:val="000000" w:themeColor="text1"/>
          <w:sz w:val="28"/>
          <w:szCs w:val="28"/>
        </w:rPr>
      </w:pPr>
      <w:r>
        <w:rPr>
          <w:rFonts w:ascii="仿宋" w:eastAsia="仿宋" w:hAnsi="仿宋" w:cs="仿宋" w:hint="eastAsia"/>
          <w:b/>
          <w:color w:val="000000" w:themeColor="text1"/>
          <w:sz w:val="28"/>
          <w:szCs w:val="28"/>
        </w:rPr>
        <w:t>七、异议处理方式</w:t>
      </w:r>
      <w:r>
        <w:rPr>
          <w:rFonts w:ascii="仿宋" w:eastAsia="仿宋" w:hAnsi="仿宋" w:cs="仿宋" w:hint="eastAsia"/>
          <w:b/>
          <w:color w:val="000000" w:themeColor="text1"/>
          <w:sz w:val="28"/>
          <w:szCs w:val="28"/>
        </w:rPr>
        <w:t xml:space="preserve"> </w:t>
      </w:r>
    </w:p>
    <w:p w14:paraId="72E960CE" w14:textId="2D5EF4AB" w:rsidR="004D717A" w:rsidRDefault="009B4DFE" w:rsidP="00DD7EBC">
      <w:pPr>
        <w:pStyle w:val="a3"/>
        <w:shd w:val="clear" w:color="auto" w:fill="FFFFFF"/>
        <w:spacing w:before="0" w:beforeAutospacing="0" w:after="0" w:afterAutospacing="0" w:line="288" w:lineRule="auto"/>
        <w:ind w:firstLine="600"/>
        <w:jc w:val="both"/>
        <w:rPr>
          <w:rFonts w:ascii="仿宋" w:eastAsia="仿宋" w:hAnsi="仿宋" w:cs="仿宋"/>
          <w:color w:val="000000" w:themeColor="text1"/>
          <w:kern w:val="2"/>
          <w:sz w:val="28"/>
          <w:szCs w:val="28"/>
        </w:rPr>
      </w:pPr>
      <w:r>
        <w:rPr>
          <w:rFonts w:ascii="仿宋" w:eastAsia="仿宋" w:hAnsi="仿宋" w:cs="仿宋" w:hint="eastAsia"/>
          <w:color w:val="000000" w:themeColor="text1"/>
          <w:sz w:val="28"/>
          <w:szCs w:val="28"/>
        </w:rPr>
        <w:t>若有关单位或个人对于公示</w:t>
      </w:r>
      <w:r>
        <w:rPr>
          <w:rFonts w:ascii="仿宋" w:eastAsia="仿宋" w:hAnsi="仿宋" w:cs="仿宋" w:hint="eastAsia"/>
          <w:color w:val="000000" w:themeColor="text1"/>
          <w:kern w:val="2"/>
          <w:sz w:val="28"/>
          <w:szCs w:val="28"/>
        </w:rPr>
        <w:t>结果存在异议，可在公示期内向外国语学院转专业工作小组提出。工作小组联系人及电话：曾老师（</w:t>
      </w:r>
      <w:r>
        <w:rPr>
          <w:rFonts w:ascii="仿宋" w:eastAsia="仿宋" w:hAnsi="仿宋" w:cs="仿宋" w:hint="eastAsia"/>
          <w:color w:val="000000" w:themeColor="text1"/>
          <w:kern w:val="2"/>
          <w:sz w:val="28"/>
          <w:szCs w:val="28"/>
        </w:rPr>
        <w:t>0</w:t>
      </w:r>
      <w:r>
        <w:rPr>
          <w:rFonts w:ascii="仿宋" w:eastAsia="仿宋" w:hAnsi="仿宋" w:cs="仿宋"/>
          <w:color w:val="000000" w:themeColor="text1"/>
          <w:kern w:val="2"/>
          <w:sz w:val="28"/>
          <w:szCs w:val="28"/>
        </w:rPr>
        <w:t>28-</w:t>
      </w:r>
      <w:r>
        <w:rPr>
          <w:rFonts w:ascii="仿宋" w:eastAsia="仿宋" w:hAnsi="仿宋" w:cs="仿宋" w:hint="eastAsia"/>
          <w:color w:val="000000" w:themeColor="text1"/>
          <w:kern w:val="2"/>
          <w:sz w:val="28"/>
          <w:szCs w:val="28"/>
        </w:rPr>
        <w:t>87720570</w:t>
      </w:r>
      <w:r>
        <w:rPr>
          <w:rFonts w:ascii="仿宋" w:eastAsia="仿宋" w:hAnsi="仿宋" w:cs="仿宋" w:hint="eastAsia"/>
          <w:color w:val="000000" w:themeColor="text1"/>
          <w:kern w:val="2"/>
          <w:sz w:val="28"/>
          <w:szCs w:val="28"/>
        </w:rPr>
        <w:t>）。工作小组将对提出的异议进行调查核实，并将调查核实结果反馈给申述人。</w:t>
      </w:r>
    </w:p>
    <w:p w14:paraId="2B17EE60" w14:textId="77777777" w:rsidR="004D717A" w:rsidRDefault="004D717A" w:rsidP="00DD7EBC">
      <w:pPr>
        <w:pStyle w:val="a3"/>
        <w:shd w:val="clear" w:color="auto" w:fill="FFFFFF"/>
        <w:spacing w:before="0" w:beforeAutospacing="0" w:after="0" w:afterAutospacing="0" w:line="288" w:lineRule="auto"/>
        <w:ind w:firstLine="600"/>
        <w:jc w:val="both"/>
        <w:rPr>
          <w:rFonts w:ascii="仿宋" w:eastAsia="仿宋" w:hAnsi="仿宋" w:cs="仿宋"/>
          <w:color w:val="000000" w:themeColor="text1"/>
          <w:kern w:val="2"/>
          <w:sz w:val="28"/>
          <w:szCs w:val="28"/>
        </w:rPr>
      </w:pPr>
    </w:p>
    <w:p w14:paraId="50B12D17" w14:textId="77777777" w:rsidR="004D717A" w:rsidRDefault="009B4DFE" w:rsidP="00DD7EBC">
      <w:pPr>
        <w:pStyle w:val="a3"/>
        <w:shd w:val="clear" w:color="auto" w:fill="FFFFFF"/>
        <w:spacing w:before="0" w:beforeAutospacing="0" w:after="0" w:afterAutospacing="0" w:line="288" w:lineRule="auto"/>
        <w:rPr>
          <w:rFonts w:ascii="仿宋" w:eastAsia="仿宋" w:hAnsi="仿宋" w:cs="仿宋"/>
          <w:b/>
          <w:color w:val="000000" w:themeColor="text1"/>
          <w:sz w:val="28"/>
          <w:szCs w:val="28"/>
        </w:rPr>
      </w:pPr>
      <w:r>
        <w:rPr>
          <w:rFonts w:ascii="仿宋" w:eastAsia="仿宋" w:hAnsi="仿宋" w:cs="仿宋" w:hint="eastAsia"/>
          <w:b/>
          <w:color w:val="000000" w:themeColor="text1"/>
          <w:sz w:val="28"/>
          <w:szCs w:val="28"/>
        </w:rPr>
        <w:t>八、其他</w:t>
      </w:r>
      <w:r>
        <w:rPr>
          <w:rFonts w:ascii="仿宋" w:eastAsia="仿宋" w:hAnsi="仿宋" w:cs="仿宋" w:hint="eastAsia"/>
          <w:b/>
          <w:color w:val="000000" w:themeColor="text1"/>
          <w:sz w:val="28"/>
          <w:szCs w:val="28"/>
        </w:rPr>
        <w:t xml:space="preserve"> </w:t>
      </w:r>
    </w:p>
    <w:p w14:paraId="07C31511" w14:textId="4985CEE5" w:rsidR="004D717A" w:rsidRDefault="009B4DFE" w:rsidP="00DD7EBC">
      <w:pPr>
        <w:pStyle w:val="a3"/>
        <w:widowControl/>
        <w:shd w:val="clear" w:color="auto" w:fill="FFFFFF"/>
        <w:spacing w:before="0" w:beforeAutospacing="0" w:after="0" w:afterAutospacing="0" w:line="288" w:lineRule="auto"/>
        <w:ind w:firstLineChars="200" w:firstLine="560"/>
        <w:rPr>
          <w:rFonts w:ascii="仿宋" w:eastAsia="仿宋" w:hAnsi="仿宋" w:cs="仿宋"/>
          <w:sz w:val="28"/>
          <w:szCs w:val="28"/>
        </w:rPr>
      </w:pPr>
      <w:r>
        <w:rPr>
          <w:rFonts w:ascii="仿宋" w:eastAsia="仿宋" w:hAnsi="仿宋" w:cs="仿宋" w:hint="eastAsia"/>
          <w:sz w:val="28"/>
          <w:szCs w:val="28"/>
        </w:rPr>
        <w:t>本方案由外国语学院转专业工作小组负责解释。</w:t>
      </w:r>
      <w:r>
        <w:rPr>
          <w:rFonts w:ascii="仿宋" w:eastAsia="仿宋" w:hAnsi="仿宋" w:cs="仿宋" w:hint="eastAsia"/>
          <w:sz w:val="28"/>
          <w:szCs w:val="28"/>
        </w:rPr>
        <w:t xml:space="preserve"> </w:t>
      </w:r>
    </w:p>
    <w:p w14:paraId="11FBCBEA" w14:textId="77777777" w:rsidR="004D717A" w:rsidRDefault="004D717A" w:rsidP="00DD7EBC">
      <w:pPr>
        <w:spacing w:line="288" w:lineRule="auto"/>
        <w:jc w:val="left"/>
      </w:pPr>
    </w:p>
    <w:sectPr w:rsidR="004D717A" w:rsidSect="00DD7EBC">
      <w:headerReference w:type="default" r:id="rId6"/>
      <w:footerReference w:type="default" r:id="rId7"/>
      <w:pgSz w:w="11900" w:h="15840"/>
      <w:pgMar w:top="1418" w:right="1418" w:bottom="1418" w:left="1531"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A1516" w14:textId="77777777" w:rsidR="009B4DFE" w:rsidRDefault="009B4DFE">
      <w:r>
        <w:separator/>
      </w:r>
    </w:p>
  </w:endnote>
  <w:endnote w:type="continuationSeparator" w:id="0">
    <w:p w14:paraId="50C37B4A" w14:textId="77777777" w:rsidR="009B4DFE" w:rsidRDefault="009B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922A3" w14:textId="77777777" w:rsidR="004D717A" w:rsidRDefault="004D71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96F4" w14:textId="77777777" w:rsidR="009B4DFE" w:rsidRDefault="009B4DFE">
      <w:r>
        <w:separator/>
      </w:r>
    </w:p>
  </w:footnote>
  <w:footnote w:type="continuationSeparator" w:id="0">
    <w:p w14:paraId="03320E0D" w14:textId="77777777" w:rsidR="009B4DFE" w:rsidRDefault="009B4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8FBA7" w14:textId="77777777" w:rsidR="004D717A" w:rsidRDefault="004D717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3DF"/>
    <w:rsid w:val="0021774B"/>
    <w:rsid w:val="004D717A"/>
    <w:rsid w:val="007253DF"/>
    <w:rsid w:val="00874A62"/>
    <w:rsid w:val="008E27DB"/>
    <w:rsid w:val="009B4DFE"/>
    <w:rsid w:val="00B83BFD"/>
    <w:rsid w:val="00DD7EBC"/>
    <w:rsid w:val="130F79DE"/>
    <w:rsid w:val="18872A66"/>
    <w:rsid w:val="18A1733A"/>
    <w:rsid w:val="20176124"/>
    <w:rsid w:val="21E52670"/>
    <w:rsid w:val="43D2384C"/>
    <w:rsid w:val="4FE12B5B"/>
    <w:rsid w:val="541938E0"/>
    <w:rsid w:val="5B8B2362"/>
    <w:rsid w:val="674525FC"/>
    <w:rsid w:val="6C73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BBDB9"/>
  <w15:docId w15:val="{1F59190E-9CA1-4FAB-A134-E9171E215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137</Words>
  <Characters>784</Characters>
  <Application>Microsoft Office Word</Application>
  <DocSecurity>0</DocSecurity>
  <Lines>6</Lines>
  <Paragraphs>1</Paragraphs>
  <ScaleCrop>false</ScaleCrop>
  <Company>Microsoft</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付成华</cp:lastModifiedBy>
  <cp:revision>3</cp:revision>
  <dcterms:created xsi:type="dcterms:W3CDTF">2026-03-27T01:29:00Z</dcterms:created>
  <dcterms:modified xsi:type="dcterms:W3CDTF">2026-04-26T09:09:00Z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{"ContentPropagator":"001191440101MA9Y9T4H7A00000","Label":"1","ReservedCode1":"/U59IPADe60Fgr6FTBdgI0jWx4w0ZOh25bq9yWjYq44=","ProduceID":"doc_sgs:cb309e3e-a394-4d89-9aa4-833eb51729f3","ReservedCode2":"/U59IPADe60Fgr6FTBdgI0jWx4w0ZOh25bq9yWjYq44=","Propag</vt:lpwstr>
  </property>
  <property fmtid="{D5CDD505-2E9C-101B-9397-08002B2CF9AE}" pid="3" name="KSOTemplateDocerSaveRecord">
    <vt:lpwstr>eyJoZGlkIjoiYzRhY2E2OTBlNDk5NzgyOTEyNmU2MTg2N2ZlNzE5YjkiLCJ1c2VySWQiOiIxNDc1NTMxOTQyIn0=</vt:lpwstr>
  </property>
  <property fmtid="{D5CDD505-2E9C-101B-9397-08002B2CF9AE}" pid="4" name="KSOProductBuildVer">
    <vt:lpwstr>2052-12.1.0.23542</vt:lpwstr>
  </property>
  <property fmtid="{D5CDD505-2E9C-101B-9397-08002B2CF9AE}" pid="5" name="ICV">
    <vt:lpwstr>C8F741397D9F4D68A8A991CCA77D2A40_13</vt:lpwstr>
  </property>
</Properties>
</file>