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outlineLvl w:val="0"/>
        <w:rPr>
          <w:rFonts w:ascii="宋体" w:hAnsi="宋体" w:eastAsia="宋体" w:cs="宋体"/>
          <w:b/>
          <w:bCs/>
          <w:color w:val="333333"/>
          <w:kern w:val="36"/>
          <w:sz w:val="48"/>
          <w:szCs w:val="48"/>
        </w:rPr>
      </w:pPr>
      <w:r>
        <w:rPr>
          <w:rFonts w:hint="eastAsia" w:ascii="宋体" w:hAnsi="宋体" w:eastAsia="宋体" w:cs="宋体"/>
          <w:b/>
          <w:bCs/>
          <w:color w:val="333333"/>
          <w:kern w:val="36"/>
          <w:sz w:val="48"/>
          <w:szCs w:val="48"/>
        </w:rPr>
        <w:t>政府采购项目采购需求（服务</w:t>
      </w:r>
      <w:r>
        <w:rPr>
          <w:rFonts w:ascii="宋体" w:hAnsi="宋体" w:eastAsia="宋体" w:cs="宋体"/>
          <w:b/>
          <w:bCs/>
          <w:color w:val="333333"/>
          <w:kern w:val="36"/>
          <w:sz w:val="48"/>
          <w:szCs w:val="48"/>
        </w:rPr>
        <w:t>类</w:t>
      </w:r>
      <w:r>
        <w:rPr>
          <w:rFonts w:hint="eastAsia" w:ascii="宋体" w:hAnsi="宋体" w:eastAsia="宋体" w:cs="宋体"/>
          <w:b/>
          <w:bCs/>
          <w:color w:val="333333"/>
          <w:kern w:val="36"/>
          <w:sz w:val="48"/>
          <w:szCs w:val="48"/>
        </w:rPr>
        <w:t>）</w:t>
      </w:r>
    </w:p>
    <w:p/>
    <w:p>
      <w:pPr>
        <w:widowControl/>
        <w:shd w:val="clear" w:color="auto" w:fill="FFFFFF"/>
        <w:spacing w:line="480" w:lineRule="auto"/>
        <w:ind w:right="1080"/>
        <w:outlineLvl w:val="2"/>
        <w:rPr>
          <w:rFonts w:ascii="宋体" w:hAnsi="宋体" w:eastAsia="宋体" w:cs="宋体"/>
          <w:color w:val="FF0000"/>
          <w:kern w:val="0"/>
          <w:sz w:val="27"/>
          <w:szCs w:val="27"/>
        </w:rPr>
      </w:pPr>
      <w:r>
        <w:rPr>
          <w:rFonts w:hint="eastAsia" w:ascii="宋体" w:hAnsi="宋体" w:eastAsia="宋体" w:cs="宋体"/>
          <w:color w:val="FF0000"/>
          <w:kern w:val="0"/>
          <w:sz w:val="27"/>
          <w:szCs w:val="27"/>
        </w:rPr>
        <w:t>采购单位（盖章）：</w:t>
      </w:r>
    </w:p>
    <w:p>
      <w:pPr>
        <w:widowControl/>
        <w:shd w:val="clear" w:color="auto" w:fill="FFFFFF"/>
        <w:spacing w:line="480" w:lineRule="auto"/>
        <w:outlineLvl w:val="2"/>
        <w:rPr>
          <w:rFonts w:ascii="宋体" w:hAnsi="宋体" w:eastAsia="宋体" w:cs="宋体"/>
          <w:b/>
          <w:bCs/>
          <w:color w:val="333333"/>
          <w:kern w:val="0"/>
          <w:sz w:val="27"/>
          <w:szCs w:val="27"/>
        </w:rPr>
      </w:pPr>
      <w:r>
        <w:rPr>
          <w:rFonts w:hint="eastAsia" w:ascii="宋体" w:hAnsi="宋体" w:eastAsia="宋体" w:cs="宋体"/>
          <w:b/>
          <w:bCs/>
          <w:color w:val="FF0000"/>
          <w:kern w:val="0"/>
          <w:sz w:val="27"/>
          <w:szCs w:val="27"/>
        </w:rPr>
        <w:t>一、项目总体情况</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（一）项目名称：思政视频课程整体建设项目</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（二）项目所属年度：2023年</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（三）项目所属分类：服务类</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（四）预算金额（元）：700000元 ，大写（人民币）：柒拾万元整 。</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最高限价（元）：700000元 ，大写（人民币）：柒拾万元整 。</w:t>
      </w:r>
    </w:p>
    <w:p>
      <w:pPr>
        <w:widowControl/>
        <w:numPr>
          <w:ilvl w:val="0"/>
          <w:numId w:val="2"/>
        </w:numPr>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项目概况：</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xml:space="preserve">    本项目主要是从提升课程育人的角度，对部分研究生与本科课程进行内涵建设，建设一批优质课程典型示范与案例协助课程构建课程思政的内涵元素，让老师掌握课程思政与专业课、通识课的融合，提升课程思政的内涵认知，从而提升教学质量。整体规划30门课程（其中研究生课程21门、本科课程9门），每门课都包含对课程大纲的设计与重构、课程育人元素典型案例的设计、教学示范课视频制作、说课视频制作。</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（六）本项目是否有为采购项目提供整体设计、规范编制或者项目管理、监理、检测等服务的供应商：</w:t>
      </w:r>
      <w:r>
        <w:rPr>
          <w:rFonts w:hint="eastAsia" w:ascii="宋体" w:hAnsi="宋体" w:eastAsia="宋体" w:cs="宋体"/>
          <w:color w:val="333333"/>
          <w:kern w:val="0"/>
          <w:sz w:val="24"/>
          <w:szCs w:val="24"/>
        </w:rPr>
        <w:sym w:font="Wingdings 2" w:char="00A3"/>
      </w:r>
      <w:r>
        <w:rPr>
          <w:rFonts w:hint="eastAsia" w:ascii="宋体" w:hAnsi="宋体" w:eastAsia="宋体" w:cs="宋体"/>
          <w:color w:val="333333"/>
          <w:kern w:val="0"/>
          <w:sz w:val="24"/>
          <w:szCs w:val="24"/>
        </w:rPr>
        <w:t xml:space="preserve">是（填以下信息）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否</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供应商名称：</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供应商统一社会信用代码：</w:t>
      </w:r>
    </w:p>
    <w:p>
      <w:pPr>
        <w:widowControl/>
        <w:shd w:val="clear" w:color="auto" w:fill="FFFFFF"/>
        <w:spacing w:line="480" w:lineRule="auto"/>
        <w:outlineLvl w:val="2"/>
        <w:rPr>
          <w:rFonts w:ascii="宋体" w:hAnsi="宋体" w:eastAsia="宋体" w:cs="宋体"/>
          <w:b/>
          <w:bCs/>
          <w:color w:val="FF0000"/>
          <w:kern w:val="0"/>
          <w:sz w:val="27"/>
          <w:szCs w:val="27"/>
        </w:rPr>
      </w:pPr>
      <w:r>
        <w:rPr>
          <w:rFonts w:hint="eastAsia" w:ascii="宋体" w:hAnsi="宋体" w:eastAsia="宋体" w:cs="宋体"/>
          <w:b/>
          <w:bCs/>
          <w:color w:val="FF0000"/>
          <w:kern w:val="0"/>
          <w:sz w:val="27"/>
          <w:szCs w:val="27"/>
        </w:rPr>
        <w:t>二、项目需求调查情况</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依据《政府采购需求管理办法》的规定，□本项目</w:t>
      </w:r>
      <w:r>
        <w:rPr>
          <w:rFonts w:hint="eastAsia" w:ascii="宋体" w:hAnsi="宋体" w:eastAsia="宋体" w:cs="宋体"/>
          <w:kern w:val="0"/>
          <w:sz w:val="24"/>
          <w:szCs w:val="24"/>
        </w:rPr>
        <w:t xml:space="preserve">需要（填以下信息）       </w:t>
      </w:r>
      <w:r>
        <w:rPr>
          <w:rFonts w:hint="eastAsia" w:ascii="宋体" w:hAnsi="宋体" w:eastAsia="宋体" w:cs="宋体"/>
          <w:kern w:val="0"/>
          <w:sz w:val="24"/>
          <w:szCs w:val="24"/>
        </w:rPr>
        <w:sym w:font="Wingdings 2" w:char="0052"/>
      </w:r>
      <w:r>
        <w:rPr>
          <w:rFonts w:hint="eastAsia" w:ascii="宋体" w:hAnsi="宋体" w:eastAsia="宋体" w:cs="宋体"/>
          <w:kern w:val="0"/>
          <w:sz w:val="24"/>
          <w:szCs w:val="24"/>
        </w:rPr>
        <w:t>不需要  需求调</w:t>
      </w:r>
      <w:r>
        <w:rPr>
          <w:rFonts w:hint="eastAsia" w:ascii="宋体" w:hAnsi="宋体" w:eastAsia="宋体" w:cs="宋体"/>
          <w:color w:val="333333"/>
          <w:kern w:val="0"/>
          <w:sz w:val="24"/>
          <w:szCs w:val="24"/>
        </w:rPr>
        <w:t>查，具体情况如下：</w:t>
      </w:r>
    </w:p>
    <w:p>
      <w:pPr>
        <w:widowControl/>
        <w:shd w:val="clear" w:color="auto" w:fill="FFFFFF"/>
        <w:spacing w:line="480" w:lineRule="auto"/>
        <w:ind w:firstLine="420"/>
        <w:rPr>
          <w:rFonts w:ascii="宋体" w:hAnsi="宋体" w:eastAsia="宋体" w:cs="宋体"/>
          <w:color w:val="000000"/>
          <w:kern w:val="0"/>
          <w:sz w:val="24"/>
          <w:szCs w:val="24"/>
        </w:rPr>
      </w:pPr>
      <w:r>
        <w:rPr>
          <w:rFonts w:hint="eastAsia" w:ascii="宋体" w:hAnsi="宋体" w:eastAsia="宋体" w:cs="宋体"/>
          <w:color w:val="000000"/>
          <w:kern w:val="0"/>
          <w:sz w:val="24"/>
          <w:szCs w:val="24"/>
        </w:rPr>
        <w:t>·本项目属于以下应当展开需求的情形</w:t>
      </w:r>
    </w:p>
    <w:p>
      <w:pPr>
        <w:widowControl/>
        <w:shd w:val="clear" w:color="auto" w:fill="FFFFFF"/>
        <w:spacing w:line="480" w:lineRule="auto"/>
        <w:ind w:left="420"/>
        <w:rPr>
          <w:rFonts w:ascii="宋体" w:hAnsi="宋体" w:eastAsia="宋体" w:cs="宋体"/>
          <w:color w:val="000000"/>
          <w:kern w:val="0"/>
          <w:sz w:val="24"/>
          <w:szCs w:val="24"/>
        </w:rPr>
      </w:pPr>
      <w:r>
        <w:rPr>
          <w:rFonts w:hint="eastAsia" w:ascii="宋体" w:hAnsi="宋体" w:eastAsia="宋体" w:cs="宋体"/>
          <w:color w:val="333333"/>
          <w:kern w:val="0"/>
          <w:sz w:val="24"/>
          <w:szCs w:val="24"/>
        </w:rPr>
        <w:t>□</w:t>
      </w:r>
      <w:r>
        <w:rPr>
          <w:rFonts w:hint="eastAsia" w:ascii="宋体" w:hAnsi="宋体" w:eastAsia="宋体" w:cs="宋体"/>
          <w:color w:val="000000"/>
          <w:kern w:val="0"/>
          <w:sz w:val="24"/>
          <w:szCs w:val="24"/>
        </w:rPr>
        <w:t xml:space="preserve"> 1000万元以上的货物、服务采购项目，3000万元以上的工程采购项目；</w:t>
      </w:r>
    </w:p>
    <w:p>
      <w:pPr>
        <w:widowControl/>
        <w:shd w:val="clear" w:color="auto" w:fill="FFFFFF"/>
        <w:spacing w:line="480" w:lineRule="auto"/>
        <w:ind w:left="420"/>
        <w:rPr>
          <w:rFonts w:ascii="宋体" w:hAnsi="宋体" w:eastAsia="宋体" w:cs="宋体"/>
          <w:color w:val="000000"/>
          <w:kern w:val="0"/>
          <w:sz w:val="24"/>
          <w:szCs w:val="24"/>
        </w:rPr>
      </w:pPr>
      <w:r>
        <w:rPr>
          <w:rFonts w:hint="eastAsia" w:ascii="宋体" w:hAnsi="宋体" w:eastAsia="宋体" w:cs="宋体"/>
          <w:color w:val="333333"/>
          <w:kern w:val="0"/>
          <w:sz w:val="24"/>
          <w:szCs w:val="24"/>
        </w:rPr>
        <w:t xml:space="preserve">□ </w:t>
      </w:r>
      <w:r>
        <w:rPr>
          <w:rFonts w:hint="eastAsia" w:ascii="宋体" w:hAnsi="宋体" w:eastAsia="宋体" w:cs="宋体"/>
          <w:color w:val="000000"/>
          <w:kern w:val="0"/>
          <w:sz w:val="24"/>
          <w:szCs w:val="24"/>
        </w:rPr>
        <w:t>涉及公共利益、社会关注度较高的采购项目，包括政府向社会公众提供的公共服务项目等；</w:t>
      </w:r>
    </w:p>
    <w:p>
      <w:pPr>
        <w:widowControl/>
        <w:shd w:val="clear" w:color="auto" w:fill="FFFFFF"/>
        <w:spacing w:line="480" w:lineRule="auto"/>
        <w:ind w:left="420"/>
        <w:rPr>
          <w:rFonts w:ascii="宋体" w:hAnsi="宋体" w:eastAsia="宋体" w:cs="宋体"/>
          <w:color w:val="000000"/>
          <w:kern w:val="0"/>
          <w:sz w:val="24"/>
          <w:szCs w:val="24"/>
        </w:rPr>
      </w:pPr>
      <w:r>
        <w:rPr>
          <w:rFonts w:hint="eastAsia" w:ascii="宋体" w:hAnsi="宋体" w:eastAsia="宋体" w:cs="宋体"/>
          <w:color w:val="333333"/>
          <w:kern w:val="0"/>
          <w:sz w:val="24"/>
          <w:szCs w:val="24"/>
        </w:rPr>
        <w:t xml:space="preserve">□ </w:t>
      </w:r>
      <w:r>
        <w:rPr>
          <w:rFonts w:hint="eastAsia" w:ascii="宋体" w:hAnsi="宋体" w:eastAsia="宋体" w:cs="宋体"/>
          <w:color w:val="000000"/>
          <w:kern w:val="0"/>
          <w:sz w:val="24"/>
          <w:szCs w:val="24"/>
        </w:rPr>
        <w:t>技术复杂、专业性较强的项目，包括需定制开发的信息化建设项目、采购进口产品的项目等；</w:t>
      </w:r>
    </w:p>
    <w:p>
      <w:pPr>
        <w:widowControl/>
        <w:shd w:val="clear" w:color="auto" w:fill="FFFFFF"/>
        <w:spacing w:line="480" w:lineRule="auto"/>
        <w:ind w:left="420"/>
        <w:rPr>
          <w:rFonts w:ascii="宋体" w:hAnsi="宋体" w:eastAsia="宋体" w:cs="宋体"/>
          <w:color w:val="000000"/>
          <w:kern w:val="0"/>
          <w:sz w:val="24"/>
          <w:szCs w:val="24"/>
        </w:rPr>
      </w:pPr>
      <w:r>
        <w:rPr>
          <w:rFonts w:hint="eastAsia" w:ascii="宋体" w:hAnsi="宋体" w:eastAsia="宋体" w:cs="宋体"/>
          <w:color w:val="333333"/>
          <w:kern w:val="0"/>
          <w:sz w:val="24"/>
          <w:szCs w:val="24"/>
        </w:rPr>
        <w:t xml:space="preserve">□ </w:t>
      </w:r>
      <w:r>
        <w:rPr>
          <w:rFonts w:hint="eastAsia" w:ascii="宋体" w:hAnsi="宋体" w:eastAsia="宋体" w:cs="宋体"/>
          <w:color w:val="000000"/>
          <w:kern w:val="0"/>
          <w:sz w:val="24"/>
          <w:szCs w:val="24"/>
        </w:rPr>
        <w:t>主管预算单位或者采购人认为需要开展需求调查的其他采购项目。</w:t>
      </w:r>
    </w:p>
    <w:p>
      <w:pPr>
        <w:widowControl/>
        <w:shd w:val="clear" w:color="auto" w:fill="FFFFFF"/>
        <w:spacing w:line="480" w:lineRule="auto"/>
        <w:ind w:firstLine="420"/>
        <w:rPr>
          <w:rFonts w:ascii="宋体" w:hAnsi="宋体" w:eastAsia="宋体" w:cs="宋体"/>
          <w:color w:val="000000"/>
          <w:kern w:val="0"/>
          <w:sz w:val="24"/>
          <w:szCs w:val="24"/>
        </w:rPr>
      </w:pPr>
      <w:r>
        <w:rPr>
          <w:rFonts w:hint="eastAsia" w:ascii="宋体" w:hAnsi="宋体" w:eastAsia="宋体" w:cs="宋体"/>
          <w:color w:val="000000"/>
          <w:kern w:val="0"/>
          <w:sz w:val="24"/>
          <w:szCs w:val="24"/>
        </w:rPr>
        <w:t>·本项目属于以下可以不再重复开展需求调查的情形</w:t>
      </w:r>
    </w:p>
    <w:p>
      <w:pPr>
        <w:widowControl/>
        <w:shd w:val="clear" w:color="auto" w:fill="FFFFFF"/>
        <w:spacing w:line="480" w:lineRule="auto"/>
        <w:ind w:firstLine="420"/>
        <w:rPr>
          <w:rFonts w:ascii="宋体" w:hAnsi="宋体" w:eastAsia="宋体" w:cs="宋体"/>
          <w:color w:val="000000"/>
          <w:kern w:val="0"/>
          <w:sz w:val="24"/>
          <w:szCs w:val="24"/>
        </w:rPr>
      </w:pPr>
      <w:r>
        <w:rPr>
          <w:rFonts w:hint="eastAsia" w:ascii="宋体" w:hAnsi="宋体" w:eastAsia="宋体" w:cs="宋体"/>
          <w:color w:val="333333"/>
          <w:kern w:val="0"/>
          <w:sz w:val="24"/>
          <w:szCs w:val="24"/>
        </w:rPr>
        <w:t xml:space="preserve">□ </w:t>
      </w:r>
      <w:r>
        <w:rPr>
          <w:rFonts w:hint="eastAsia" w:ascii="宋体" w:hAnsi="宋体" w:eastAsia="宋体" w:cs="宋体"/>
          <w:color w:val="000000"/>
          <w:kern w:val="0"/>
          <w:sz w:val="24"/>
          <w:szCs w:val="24"/>
        </w:rPr>
        <w:t>编制采购需求前一年内，采购人已就相关采购标的开展过需求调查的可以不再重复开展。</w:t>
      </w:r>
    </w:p>
    <w:p>
      <w:pPr>
        <w:widowControl/>
        <w:shd w:val="clear" w:color="auto" w:fill="FFFFFF"/>
        <w:spacing w:line="480" w:lineRule="auto"/>
        <w:ind w:firstLine="420"/>
        <w:rPr>
          <w:rFonts w:ascii="宋体" w:hAnsi="宋体" w:eastAsia="宋体" w:cs="宋体"/>
          <w:color w:val="000000"/>
          <w:kern w:val="0"/>
          <w:sz w:val="24"/>
          <w:szCs w:val="24"/>
        </w:rPr>
      </w:pPr>
      <w:r>
        <w:rPr>
          <w:rFonts w:hint="eastAsia" w:ascii="宋体" w:hAnsi="宋体" w:eastAsia="宋体" w:cs="宋体"/>
          <w:color w:val="333333"/>
          <w:kern w:val="0"/>
          <w:sz w:val="24"/>
          <w:szCs w:val="24"/>
        </w:rPr>
        <w:sym w:font="Wingdings 2" w:char="00A3"/>
      </w:r>
      <w:r>
        <w:rPr>
          <w:rFonts w:hint="eastAsia" w:ascii="宋体" w:hAnsi="宋体" w:eastAsia="宋体" w:cs="宋体"/>
          <w:color w:val="333333"/>
          <w:kern w:val="0"/>
          <w:sz w:val="24"/>
          <w:szCs w:val="24"/>
        </w:rPr>
        <w:t xml:space="preserve"> </w:t>
      </w:r>
      <w:r>
        <w:rPr>
          <w:rFonts w:hint="eastAsia" w:ascii="宋体" w:hAnsi="宋体" w:eastAsia="宋体" w:cs="宋体"/>
          <w:color w:val="000000"/>
          <w:kern w:val="0"/>
          <w:sz w:val="24"/>
          <w:szCs w:val="24"/>
        </w:rPr>
        <w:t>按照法律法规的规定，对采购项目开展可行性研究等前期工作，已包含需求调查内容的，可以不再重复调查</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（一）需求调查方式:</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□咨询  □论证  □调查问卷</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（二）需求调查对象:</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（三）需求调查结果</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outlineLvl w:val="2"/>
        <w:rPr>
          <w:rFonts w:ascii="宋体" w:hAnsi="宋体" w:eastAsia="宋体" w:cs="宋体"/>
          <w:b/>
          <w:bCs/>
          <w:color w:val="333333"/>
          <w:kern w:val="0"/>
          <w:sz w:val="27"/>
          <w:szCs w:val="27"/>
        </w:rPr>
      </w:pPr>
      <w:r>
        <w:rPr>
          <w:rFonts w:hint="eastAsia" w:ascii="宋体" w:hAnsi="宋体" w:eastAsia="宋体" w:cs="宋体"/>
          <w:b/>
          <w:bCs/>
          <w:color w:val="333333"/>
          <w:kern w:val="0"/>
          <w:sz w:val="27"/>
          <w:szCs w:val="27"/>
        </w:rPr>
        <w:t>三、项目采购实施计划</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（一）采购组织形式：□政府集中采购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 xml:space="preserve">□部门集中采购  </w:t>
      </w: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分散采购</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 </w:t>
      </w:r>
      <w:r>
        <w:rPr>
          <w:rFonts w:hint="eastAsia" w:ascii="宋体" w:hAnsi="宋体" w:eastAsia="宋体" w:cs="宋体"/>
          <w:color w:val="FF0000"/>
          <w:kern w:val="0"/>
          <w:sz w:val="24"/>
          <w:szCs w:val="24"/>
        </w:rPr>
        <w:t>（二）采购方式</w:t>
      </w:r>
      <w:r>
        <w:rPr>
          <w:rFonts w:ascii="宋体" w:hAnsi="宋体" w:eastAsia="宋体" w:cs="宋体"/>
          <w:color w:val="FF0000"/>
          <w:kern w:val="0"/>
          <w:sz w:val="24"/>
          <w:szCs w:val="24"/>
        </w:rPr>
        <w:t>：</w:t>
      </w:r>
      <w:r>
        <w:rPr>
          <w:rFonts w:hint="eastAsia" w:ascii="宋体" w:hAnsi="宋体" w:eastAsia="宋体" w:cs="宋体"/>
          <w:color w:val="333333"/>
          <w:kern w:val="0"/>
          <w:sz w:val="24"/>
          <w:szCs w:val="24"/>
        </w:rPr>
        <w:t>□</w:t>
      </w: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公开招标  □邀请</w:t>
      </w:r>
      <w:r>
        <w:rPr>
          <w:rFonts w:ascii="宋体" w:hAnsi="宋体" w:eastAsia="宋体" w:cs="宋体"/>
          <w:color w:val="333333"/>
          <w:kern w:val="0"/>
          <w:sz w:val="24"/>
          <w:szCs w:val="24"/>
        </w:rPr>
        <w:t>招标</w:t>
      </w:r>
      <w:r>
        <w:rPr>
          <w:rFonts w:hint="eastAsia" w:ascii="宋体" w:hAnsi="宋体" w:eastAsia="宋体" w:cs="宋体"/>
          <w:color w:val="333333"/>
          <w:kern w:val="0"/>
          <w:sz w:val="24"/>
          <w:szCs w:val="24"/>
        </w:rPr>
        <w:t xml:space="preserve">  □竞争性谈判  □询价     □单一来源  □竞争性</w:t>
      </w:r>
      <w:r>
        <w:rPr>
          <w:rFonts w:ascii="宋体" w:hAnsi="宋体" w:eastAsia="宋体" w:cs="宋体"/>
          <w:color w:val="333333"/>
          <w:kern w:val="0"/>
          <w:sz w:val="24"/>
          <w:szCs w:val="24"/>
        </w:rPr>
        <w:t>磋商</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（三）本项目是否单位自行组织采购：否</w:t>
      </w:r>
    </w:p>
    <w:p>
      <w:pPr>
        <w:widowControl/>
        <w:shd w:val="clear" w:color="auto" w:fill="FFFFFF"/>
        <w:spacing w:line="480" w:lineRule="auto"/>
        <w:ind w:firstLine="420"/>
        <w:rPr>
          <w:sz w:val="24"/>
        </w:rPr>
      </w:pPr>
      <w:r>
        <w:rPr>
          <w:rFonts w:hint="eastAsia" w:ascii="宋体" w:hAnsi="宋体" w:eastAsia="宋体" w:cs="宋体"/>
          <w:color w:val="333333"/>
          <w:kern w:val="0"/>
          <w:sz w:val="24"/>
          <w:szCs w:val="24"/>
        </w:rPr>
        <w:t>（四）采购包划分</w:t>
      </w:r>
      <w:r>
        <w:rPr>
          <w:rFonts w:hint="eastAsia"/>
        </w:rPr>
        <w:t>：</w:t>
      </w:r>
      <w:r>
        <w:rPr>
          <w:rFonts w:hint="eastAsia"/>
          <w:sz w:val="24"/>
        </w:rPr>
        <w:t>不分包采购</w:t>
      </w:r>
    </w:p>
    <w:p>
      <w:pPr>
        <w:widowControl/>
        <w:shd w:val="clear" w:color="auto" w:fill="FFFFFF"/>
        <w:spacing w:line="480" w:lineRule="auto"/>
        <w:ind w:firstLine="420"/>
        <w:rPr>
          <w:color w:val="FF0000"/>
          <w:sz w:val="24"/>
        </w:rPr>
      </w:pPr>
      <w:r>
        <w:rPr>
          <w:rFonts w:hint="eastAsia"/>
          <w:color w:val="FF0000"/>
          <w:sz w:val="24"/>
        </w:rPr>
        <w:t>包</w:t>
      </w:r>
      <w:r>
        <w:rPr>
          <w:color w:val="FF0000"/>
          <w:sz w:val="24"/>
        </w:rPr>
        <w:t>名称：</w:t>
      </w:r>
      <w:r>
        <w:rPr>
          <w:rFonts w:hint="eastAsia"/>
          <w:color w:val="FF0000"/>
          <w:sz w:val="24"/>
        </w:rPr>
        <w:t xml:space="preserve">1 </w:t>
      </w:r>
      <w:r>
        <w:rPr>
          <w:color w:val="FF0000"/>
          <w:sz w:val="24"/>
        </w:rPr>
        <w:t xml:space="preserve">       </w:t>
      </w:r>
      <w:r>
        <w:rPr>
          <w:rFonts w:hint="eastAsia"/>
          <w:color w:val="FF0000"/>
          <w:sz w:val="24"/>
        </w:rPr>
        <w:t xml:space="preserve">  </w:t>
      </w:r>
      <w:r>
        <w:rPr>
          <w:color w:val="FF0000"/>
          <w:sz w:val="24"/>
        </w:rPr>
        <w:t xml:space="preserve">  </w:t>
      </w:r>
      <w:r>
        <w:rPr>
          <w:rFonts w:hint="eastAsia"/>
          <w:color w:val="FF0000"/>
          <w:sz w:val="24"/>
        </w:rPr>
        <w:t>最高</w:t>
      </w:r>
      <w:r>
        <w:rPr>
          <w:color w:val="FF0000"/>
          <w:sz w:val="24"/>
        </w:rPr>
        <w:t>限价</w:t>
      </w:r>
      <w:r>
        <w:rPr>
          <w:rFonts w:hint="eastAsia"/>
          <w:color w:val="FF0000"/>
          <w:sz w:val="24"/>
        </w:rPr>
        <w:t>（元）</w:t>
      </w:r>
      <w:r>
        <w:rPr>
          <w:color w:val="FF0000"/>
          <w:sz w:val="24"/>
        </w:rPr>
        <w:t>：</w:t>
      </w:r>
      <w:r>
        <w:rPr>
          <w:rFonts w:hint="eastAsia"/>
          <w:color w:val="FF0000"/>
          <w:sz w:val="24"/>
        </w:rPr>
        <w:t xml:space="preserve">700000     </w:t>
      </w:r>
    </w:p>
    <w:p>
      <w:pPr>
        <w:widowControl/>
        <w:shd w:val="clear" w:color="auto" w:fill="FFFFFF"/>
        <w:spacing w:line="480" w:lineRule="auto"/>
        <w:ind w:firstLine="420"/>
        <w:rPr>
          <w:sz w:val="24"/>
        </w:rPr>
      </w:pPr>
      <w:r>
        <w:rPr>
          <w:rFonts w:hint="eastAsia"/>
          <w:color w:val="FF0000"/>
          <w:sz w:val="24"/>
        </w:rPr>
        <w:t>定价方式：</w:t>
      </w:r>
      <w:r>
        <w:rPr>
          <w:rFonts w:hint="eastAsia" w:ascii="宋体" w:hAnsi="宋体" w:eastAsia="宋体" w:cs="宋体"/>
          <w:color w:val="333333"/>
          <w:kern w:val="0"/>
          <w:sz w:val="24"/>
          <w:szCs w:val="24"/>
        </w:rPr>
        <w:sym w:font="Wingdings 2" w:char="0052"/>
      </w:r>
      <w:r>
        <w:rPr>
          <w:rFonts w:hint="eastAsia"/>
          <w:sz w:val="24"/>
        </w:rPr>
        <w:t xml:space="preserve">固定总价 </w:t>
      </w:r>
      <w:r>
        <w:rPr>
          <w:sz w:val="24"/>
        </w:rPr>
        <w:t xml:space="preserve"> </w:t>
      </w:r>
      <w:r>
        <w:rPr>
          <w:rFonts w:hint="eastAsia"/>
          <w:sz w:val="24"/>
        </w:rPr>
        <w:t xml:space="preserve"> </w:t>
      </w:r>
      <w:r>
        <w:rPr>
          <w:rFonts w:hint="eastAsia" w:ascii="宋体" w:hAnsi="宋体" w:eastAsia="宋体" w:cs="宋体"/>
          <w:color w:val="333333"/>
          <w:kern w:val="0"/>
          <w:sz w:val="24"/>
          <w:szCs w:val="24"/>
        </w:rPr>
        <w:t>□</w:t>
      </w:r>
      <w:r>
        <w:rPr>
          <w:rFonts w:hint="eastAsia"/>
          <w:sz w:val="24"/>
        </w:rPr>
        <w:t xml:space="preserve">固定单价 </w:t>
      </w:r>
      <w:r>
        <w:rPr>
          <w:sz w:val="24"/>
        </w:rPr>
        <w:t xml:space="preserve"> </w:t>
      </w:r>
      <w:r>
        <w:rPr>
          <w:rFonts w:hint="eastAsia"/>
          <w:sz w:val="24"/>
        </w:rPr>
        <w:t xml:space="preserve"> </w:t>
      </w:r>
      <w:r>
        <w:rPr>
          <w:rFonts w:hint="eastAsia" w:ascii="宋体" w:hAnsi="宋体" w:eastAsia="宋体" w:cs="宋体"/>
          <w:color w:val="333333"/>
          <w:kern w:val="0"/>
          <w:sz w:val="24"/>
          <w:szCs w:val="24"/>
        </w:rPr>
        <w:t>□</w:t>
      </w:r>
      <w:r>
        <w:rPr>
          <w:rFonts w:hint="eastAsia"/>
          <w:sz w:val="24"/>
        </w:rPr>
        <w:t>其他（</w:t>
      </w:r>
      <w:r>
        <w:rPr>
          <w:sz w:val="24"/>
        </w:rPr>
        <w:t>定价方式名称：</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p>
    <w:p>
      <w:pPr>
        <w:widowControl/>
        <w:shd w:val="clear" w:color="auto" w:fill="FFFFFF"/>
        <w:spacing w:line="480" w:lineRule="auto"/>
        <w:ind w:firstLine="420"/>
        <w:rPr>
          <w:sz w:val="24"/>
        </w:rPr>
      </w:pPr>
      <w:r>
        <w:rPr>
          <w:rFonts w:hint="eastAsia"/>
          <w:sz w:val="24"/>
        </w:rPr>
        <w:t>品目信息一</w:t>
      </w:r>
    </w:p>
    <w:p>
      <w:pPr>
        <w:widowControl/>
        <w:shd w:val="clear" w:color="auto" w:fill="FFFFFF"/>
        <w:spacing w:line="480" w:lineRule="auto"/>
        <w:ind w:firstLine="420"/>
        <w:rPr>
          <w:color w:val="FF0000"/>
          <w:sz w:val="24"/>
        </w:rPr>
      </w:pPr>
      <w:r>
        <w:rPr>
          <w:rFonts w:hint="eastAsia"/>
          <w:color w:val="FF0000"/>
          <w:sz w:val="24"/>
        </w:rPr>
        <w:t>标的名称：金课改造建设项目    计量单位</w:t>
      </w:r>
      <w:r>
        <w:rPr>
          <w:color w:val="FF0000"/>
          <w:sz w:val="24"/>
        </w:rPr>
        <w:t>：</w:t>
      </w:r>
      <w:r>
        <w:rPr>
          <w:rFonts w:hint="eastAsia"/>
          <w:color w:val="FF0000"/>
          <w:sz w:val="24"/>
        </w:rPr>
        <w:t xml:space="preserve">年/服务 </w:t>
      </w:r>
      <w:r>
        <w:rPr>
          <w:color w:val="FF0000"/>
          <w:sz w:val="24"/>
        </w:rPr>
        <w:t xml:space="preserve">     </w:t>
      </w:r>
      <w:r>
        <w:rPr>
          <w:rFonts w:hint="eastAsia"/>
          <w:color w:val="FF0000"/>
          <w:sz w:val="24"/>
        </w:rPr>
        <w:t>数量</w:t>
      </w:r>
      <w:r>
        <w:rPr>
          <w:color w:val="FF0000"/>
          <w:sz w:val="24"/>
        </w:rPr>
        <w:t>：</w:t>
      </w:r>
      <w:r>
        <w:rPr>
          <w:rFonts w:hint="eastAsia"/>
          <w:color w:val="FF0000"/>
          <w:sz w:val="24"/>
        </w:rPr>
        <w:t>整体建设30门</w:t>
      </w:r>
    </w:p>
    <w:p>
      <w:pPr>
        <w:widowControl/>
        <w:shd w:val="clear" w:color="auto" w:fill="FFFFFF"/>
        <w:spacing w:line="480" w:lineRule="auto"/>
        <w:ind w:firstLine="420"/>
        <w:rPr>
          <w:color w:val="FF0000"/>
          <w:sz w:val="24"/>
        </w:rPr>
      </w:pPr>
      <w:r>
        <w:rPr>
          <w:rFonts w:hint="eastAsia"/>
          <w:color w:val="FF0000"/>
          <w:sz w:val="24"/>
        </w:rPr>
        <w:t>单价（元）</w:t>
      </w:r>
      <w:r>
        <w:rPr>
          <w:color w:val="FF0000"/>
          <w:sz w:val="24"/>
        </w:rPr>
        <w:t>：</w:t>
      </w:r>
      <w:r>
        <w:rPr>
          <w:rFonts w:hint="eastAsia"/>
          <w:color w:val="FF0000"/>
          <w:sz w:val="24"/>
        </w:rPr>
        <w:t xml:space="preserve">700000   </w:t>
      </w:r>
      <w:r>
        <w:rPr>
          <w:color w:val="FF0000"/>
          <w:sz w:val="24"/>
        </w:rPr>
        <w:t xml:space="preserve">           </w:t>
      </w:r>
      <w:r>
        <w:rPr>
          <w:rFonts w:hint="eastAsia"/>
          <w:color w:val="FF0000"/>
          <w:sz w:val="24"/>
        </w:rPr>
        <w:t>该品目预算(元)：700000</w:t>
      </w:r>
    </w:p>
    <w:p>
      <w:pPr>
        <w:widowControl/>
        <w:shd w:val="clear" w:color="auto" w:fill="FFFFFF"/>
        <w:spacing w:line="480" w:lineRule="auto"/>
        <w:ind w:firstLine="420"/>
        <w:rPr>
          <w:sz w:val="24"/>
        </w:rPr>
      </w:pPr>
      <w:r>
        <w:rPr>
          <w:rFonts w:hint="eastAsia"/>
          <w:sz w:val="24"/>
        </w:rPr>
        <w:t>所属</w:t>
      </w:r>
      <w:r>
        <w:rPr>
          <w:sz w:val="24"/>
        </w:rPr>
        <w:t>行业：</w:t>
      </w:r>
      <w:r>
        <w:rPr>
          <w:rFonts w:hint="eastAsia" w:ascii="宋体" w:hAnsi="宋体" w:eastAsia="宋体" w:cs="宋体"/>
          <w:color w:val="333333"/>
          <w:kern w:val="0"/>
          <w:sz w:val="24"/>
          <w:szCs w:val="24"/>
        </w:rPr>
        <w:t>□</w:t>
      </w:r>
      <w:r>
        <w:rPr>
          <w:rFonts w:hint="eastAsia"/>
          <w:sz w:val="24"/>
        </w:rPr>
        <w:t>农、林、牧、渔业　　</w:t>
      </w:r>
      <w:r>
        <w:rPr>
          <w:rFonts w:hint="eastAsia" w:ascii="宋体" w:hAnsi="宋体" w:eastAsia="宋体" w:cs="宋体"/>
          <w:color w:val="333333"/>
          <w:kern w:val="0"/>
          <w:sz w:val="24"/>
          <w:szCs w:val="24"/>
        </w:rPr>
        <w:t>□</w:t>
      </w:r>
      <w:r>
        <w:rPr>
          <w:rFonts w:hint="eastAsia"/>
          <w:sz w:val="24"/>
        </w:rPr>
        <w:t xml:space="preserve">工业   </w:t>
      </w:r>
      <w:r>
        <w:rPr>
          <w:rFonts w:hint="eastAsia" w:ascii="宋体" w:hAnsi="宋体" w:eastAsia="宋体" w:cs="宋体"/>
          <w:color w:val="333333"/>
          <w:kern w:val="0"/>
          <w:sz w:val="24"/>
          <w:szCs w:val="24"/>
        </w:rPr>
        <w:t>□</w:t>
      </w:r>
      <w:r>
        <w:rPr>
          <w:rFonts w:hint="eastAsia"/>
          <w:sz w:val="24"/>
        </w:rPr>
        <w:t xml:space="preserve">建筑业  </w:t>
      </w:r>
      <w:r>
        <w:rPr>
          <w:rFonts w:hint="eastAsia" w:ascii="宋体" w:hAnsi="宋体" w:eastAsia="宋体" w:cs="宋体"/>
          <w:color w:val="333333"/>
          <w:kern w:val="0"/>
          <w:sz w:val="24"/>
          <w:szCs w:val="24"/>
        </w:rPr>
        <w:t>□</w:t>
      </w:r>
      <w:r>
        <w:rPr>
          <w:rFonts w:hint="eastAsia"/>
          <w:sz w:val="24"/>
        </w:rPr>
        <w:t xml:space="preserve">批发业  </w:t>
      </w:r>
      <w:r>
        <w:rPr>
          <w:rFonts w:hint="eastAsia" w:ascii="宋体" w:hAnsi="宋体" w:eastAsia="宋体" w:cs="宋体"/>
          <w:color w:val="333333"/>
          <w:kern w:val="0"/>
          <w:sz w:val="24"/>
          <w:szCs w:val="24"/>
        </w:rPr>
        <w:t>□</w:t>
      </w:r>
      <w:r>
        <w:rPr>
          <w:rFonts w:hint="eastAsia"/>
          <w:sz w:val="24"/>
        </w:rPr>
        <w:t xml:space="preserve">零售业  </w:t>
      </w:r>
      <w:r>
        <w:rPr>
          <w:rFonts w:hint="eastAsia" w:ascii="宋体" w:hAnsi="宋体" w:eastAsia="宋体" w:cs="宋体"/>
          <w:color w:val="333333"/>
          <w:kern w:val="0"/>
          <w:sz w:val="24"/>
          <w:szCs w:val="24"/>
        </w:rPr>
        <w:t>□</w:t>
      </w:r>
      <w:r>
        <w:rPr>
          <w:rFonts w:hint="eastAsia"/>
          <w:sz w:val="24"/>
        </w:rPr>
        <w:t xml:space="preserve">交通运输业  </w:t>
      </w:r>
      <w:r>
        <w:rPr>
          <w:rFonts w:hint="eastAsia" w:ascii="宋体" w:hAnsi="宋体" w:eastAsia="宋体" w:cs="宋体"/>
          <w:color w:val="333333"/>
          <w:kern w:val="0"/>
          <w:sz w:val="24"/>
          <w:szCs w:val="24"/>
        </w:rPr>
        <w:t>□</w:t>
      </w:r>
      <w:r>
        <w:rPr>
          <w:rFonts w:hint="eastAsia"/>
          <w:sz w:val="24"/>
        </w:rPr>
        <w:t xml:space="preserve">仓储业  </w:t>
      </w:r>
      <w:r>
        <w:rPr>
          <w:rFonts w:hint="eastAsia" w:ascii="宋体" w:hAnsi="宋体" w:eastAsia="宋体" w:cs="宋体"/>
          <w:color w:val="333333"/>
          <w:kern w:val="0"/>
          <w:sz w:val="24"/>
          <w:szCs w:val="24"/>
        </w:rPr>
        <w:t>□</w:t>
      </w:r>
      <w:r>
        <w:rPr>
          <w:rFonts w:hint="eastAsia"/>
          <w:sz w:val="24"/>
        </w:rPr>
        <w:t xml:space="preserve">邮政业  </w:t>
      </w:r>
      <w:r>
        <w:rPr>
          <w:rFonts w:hint="eastAsia" w:ascii="宋体" w:hAnsi="宋体" w:eastAsia="宋体" w:cs="宋体"/>
          <w:color w:val="333333"/>
          <w:kern w:val="0"/>
          <w:sz w:val="24"/>
          <w:szCs w:val="24"/>
        </w:rPr>
        <w:t>□</w:t>
      </w:r>
      <w:r>
        <w:rPr>
          <w:rFonts w:hint="eastAsia"/>
          <w:sz w:val="24"/>
        </w:rPr>
        <w:t xml:space="preserve">住宿业  </w:t>
      </w:r>
      <w:r>
        <w:rPr>
          <w:rFonts w:hint="eastAsia" w:ascii="宋体" w:hAnsi="宋体" w:eastAsia="宋体" w:cs="宋体"/>
          <w:color w:val="333333"/>
          <w:kern w:val="0"/>
          <w:sz w:val="24"/>
          <w:szCs w:val="24"/>
        </w:rPr>
        <w:t>□</w:t>
      </w:r>
      <w:r>
        <w:rPr>
          <w:rFonts w:hint="eastAsia"/>
          <w:sz w:val="24"/>
        </w:rPr>
        <w:t xml:space="preserve">餐饮业  </w:t>
      </w:r>
      <w:r>
        <w:rPr>
          <w:rFonts w:hint="eastAsia" w:ascii="宋体" w:hAnsi="宋体" w:eastAsia="宋体" w:cs="宋体"/>
          <w:color w:val="333333"/>
          <w:kern w:val="0"/>
          <w:sz w:val="24"/>
          <w:szCs w:val="24"/>
        </w:rPr>
        <w:t>□</w:t>
      </w:r>
      <w:r>
        <w:rPr>
          <w:rFonts w:hint="eastAsia"/>
          <w:sz w:val="24"/>
        </w:rPr>
        <w:t xml:space="preserve">信息传输业  </w:t>
      </w:r>
      <w:r>
        <w:rPr>
          <w:rFonts w:hint="eastAsia" w:ascii="宋体" w:hAnsi="宋体" w:eastAsia="宋体" w:cs="宋体"/>
          <w:color w:val="333333"/>
          <w:kern w:val="0"/>
          <w:sz w:val="24"/>
          <w:szCs w:val="24"/>
        </w:rPr>
        <w:sym w:font="Wingdings 2" w:char="0052"/>
      </w:r>
      <w:r>
        <w:rPr>
          <w:rFonts w:hint="eastAsia"/>
          <w:sz w:val="24"/>
        </w:rPr>
        <w:t xml:space="preserve">软件和信息技术服务业  </w:t>
      </w:r>
      <w:r>
        <w:rPr>
          <w:rFonts w:hint="eastAsia" w:ascii="宋体" w:hAnsi="宋体" w:eastAsia="宋体" w:cs="宋体"/>
          <w:color w:val="333333"/>
          <w:kern w:val="0"/>
          <w:sz w:val="24"/>
          <w:szCs w:val="24"/>
        </w:rPr>
        <w:t>□</w:t>
      </w:r>
      <w:r>
        <w:rPr>
          <w:rFonts w:hint="eastAsia"/>
          <w:sz w:val="24"/>
        </w:rPr>
        <w:t xml:space="preserve">房地产开发经营  </w:t>
      </w:r>
      <w:r>
        <w:rPr>
          <w:rFonts w:hint="eastAsia" w:ascii="宋体" w:hAnsi="宋体" w:eastAsia="宋体" w:cs="宋体"/>
          <w:color w:val="333333"/>
          <w:kern w:val="0"/>
          <w:sz w:val="24"/>
          <w:szCs w:val="24"/>
        </w:rPr>
        <w:t>□</w:t>
      </w:r>
      <w:r>
        <w:rPr>
          <w:rFonts w:hint="eastAsia"/>
          <w:sz w:val="24"/>
        </w:rPr>
        <w:t xml:space="preserve">物业管理  </w:t>
      </w:r>
      <w:r>
        <w:rPr>
          <w:rFonts w:hint="eastAsia" w:ascii="宋体" w:hAnsi="宋体" w:eastAsia="宋体" w:cs="宋体"/>
          <w:color w:val="333333"/>
          <w:kern w:val="0"/>
          <w:sz w:val="24"/>
          <w:szCs w:val="24"/>
        </w:rPr>
        <w:sym w:font="Wingdings 2" w:char="00A3"/>
      </w:r>
      <w:r>
        <w:rPr>
          <w:rFonts w:hint="eastAsia"/>
          <w:sz w:val="24"/>
        </w:rPr>
        <w:t xml:space="preserve">租赁和商务服务业  </w:t>
      </w:r>
      <w:r>
        <w:rPr>
          <w:rFonts w:hint="eastAsia" w:ascii="宋体" w:hAnsi="宋体" w:eastAsia="宋体" w:cs="宋体"/>
          <w:color w:val="333333"/>
          <w:kern w:val="0"/>
          <w:sz w:val="24"/>
          <w:szCs w:val="24"/>
        </w:rPr>
        <w:t>□</w:t>
      </w:r>
      <w:r>
        <w:rPr>
          <w:rFonts w:hint="eastAsia"/>
          <w:sz w:val="24"/>
        </w:rPr>
        <w:t>其他未列明行业</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sz w:val="24"/>
        </w:rPr>
        <w:t>节能</w:t>
      </w:r>
      <w:r>
        <w:rPr>
          <w:sz w:val="24"/>
        </w:rPr>
        <w:t>：</w:t>
      </w:r>
      <w:r>
        <w:rPr>
          <w:rFonts w:hint="eastAsia" w:ascii="宋体" w:hAnsi="宋体" w:eastAsia="宋体" w:cs="宋体"/>
          <w:color w:val="333333"/>
          <w:kern w:val="0"/>
          <w:sz w:val="24"/>
          <w:szCs w:val="24"/>
        </w:rPr>
        <w:t xml:space="preserve">□是   □否            </w:t>
      </w:r>
      <w:r>
        <w:rPr>
          <w:rFonts w:hint="eastAsia"/>
          <w:sz w:val="24"/>
        </w:rPr>
        <w:t>环保</w:t>
      </w:r>
      <w:r>
        <w:rPr>
          <w:sz w:val="24"/>
        </w:rPr>
        <w:t>：</w:t>
      </w:r>
      <w:r>
        <w:rPr>
          <w:rFonts w:hint="eastAsia" w:ascii="宋体" w:hAnsi="宋体" w:eastAsia="宋体" w:cs="宋体"/>
          <w:color w:val="333333"/>
          <w:kern w:val="0"/>
          <w:sz w:val="24"/>
          <w:szCs w:val="24"/>
        </w:rPr>
        <w:t>□是   □否</w:t>
      </w:r>
    </w:p>
    <w:p>
      <w:pPr>
        <w:widowControl/>
        <w:shd w:val="clear" w:color="auto" w:fill="FFFFFF"/>
        <w:spacing w:line="480" w:lineRule="auto"/>
        <w:ind w:firstLine="420"/>
        <w:rPr>
          <w:color w:val="FF0000"/>
          <w:sz w:val="24"/>
        </w:rPr>
      </w:pPr>
      <w:r>
        <w:rPr>
          <w:rFonts w:hint="eastAsia" w:ascii="宋体" w:hAnsi="宋体" w:eastAsia="宋体" w:cs="宋体"/>
          <w:color w:val="FF0000"/>
          <w:kern w:val="0"/>
          <w:sz w:val="24"/>
          <w:szCs w:val="24"/>
        </w:rPr>
        <w:t>功能和质量要求 ：</w:t>
      </w:r>
    </w:p>
    <w:p>
      <w:pPr>
        <w:widowControl/>
        <w:shd w:val="clear" w:color="auto" w:fill="FFFFFF"/>
        <w:spacing w:line="480" w:lineRule="auto"/>
        <w:ind w:firstLine="420"/>
        <w:rPr>
          <w:color w:val="FF0000"/>
          <w:sz w:val="24"/>
        </w:rPr>
      </w:pPr>
    </w:p>
    <w:p>
      <w:pPr>
        <w:widowControl/>
        <w:shd w:val="clear" w:color="auto" w:fill="FFFFFF"/>
        <w:spacing w:line="480" w:lineRule="auto"/>
        <w:ind w:firstLine="420"/>
        <w:rPr>
          <w:color w:val="FF0000"/>
          <w:sz w:val="24"/>
        </w:rPr>
      </w:pPr>
      <w:r>
        <w:rPr>
          <w:rFonts w:hint="eastAsia"/>
          <w:color w:val="FF0000"/>
          <w:sz w:val="24"/>
        </w:rPr>
        <w:t>注：如有</w:t>
      </w:r>
      <w:r>
        <w:rPr>
          <w:color w:val="FF0000"/>
          <w:sz w:val="24"/>
        </w:rPr>
        <w:t>多个</w:t>
      </w:r>
      <w:r>
        <w:rPr>
          <w:rFonts w:hint="eastAsia"/>
          <w:color w:val="FF0000"/>
          <w:sz w:val="24"/>
        </w:rPr>
        <w:t>标的，各</w:t>
      </w:r>
      <w:r>
        <w:rPr>
          <w:color w:val="FF0000"/>
          <w:sz w:val="24"/>
        </w:rPr>
        <w:t>标的品目</w:t>
      </w:r>
      <w:r>
        <w:rPr>
          <w:rFonts w:hint="eastAsia"/>
          <w:color w:val="FF0000"/>
          <w:sz w:val="24"/>
        </w:rPr>
        <w:t>预算相加</w:t>
      </w:r>
      <w:r>
        <w:rPr>
          <w:color w:val="FF0000"/>
          <w:sz w:val="24"/>
        </w:rPr>
        <w:t>应等于</w:t>
      </w:r>
      <w:r>
        <w:rPr>
          <w:rFonts w:hint="eastAsia"/>
          <w:color w:val="FF0000"/>
          <w:sz w:val="24"/>
        </w:rPr>
        <w:t>该</w:t>
      </w:r>
      <w:r>
        <w:rPr>
          <w:color w:val="FF0000"/>
          <w:sz w:val="24"/>
        </w:rPr>
        <w:t>包</w:t>
      </w:r>
      <w:r>
        <w:rPr>
          <w:rFonts w:hint="eastAsia"/>
          <w:color w:val="FF0000"/>
          <w:sz w:val="24"/>
        </w:rPr>
        <w:t>总预算（最高</w:t>
      </w:r>
      <w:r>
        <w:rPr>
          <w:color w:val="FF0000"/>
          <w:sz w:val="24"/>
        </w:rPr>
        <w:t>限价</w:t>
      </w:r>
      <w:r>
        <w:rPr>
          <w:rFonts w:hint="eastAsia"/>
          <w:color w:val="FF0000"/>
          <w:sz w:val="24"/>
        </w:rPr>
        <w:t>）。</w:t>
      </w:r>
    </w:p>
    <w:p>
      <w:pPr>
        <w:widowControl/>
        <w:shd w:val="clear" w:color="auto" w:fill="FFFFFF"/>
        <w:spacing w:line="480" w:lineRule="auto"/>
        <w:ind w:firstLine="420"/>
        <w:rPr>
          <w:rFonts w:ascii="宋体" w:hAnsi="宋体" w:eastAsia="宋体" w:cs="宋体"/>
          <w:color w:val="FF0000"/>
          <w:kern w:val="0"/>
          <w:sz w:val="24"/>
          <w:szCs w:val="24"/>
        </w:rPr>
      </w:pPr>
      <w:r>
        <w:rPr>
          <w:rFonts w:hint="eastAsia" w:ascii="宋体" w:hAnsi="宋体" w:eastAsia="宋体" w:cs="宋体"/>
          <w:color w:val="FF0000"/>
          <w:kern w:val="0"/>
          <w:sz w:val="24"/>
          <w:szCs w:val="24"/>
        </w:rPr>
        <w:t>（五）执行政府采购促进中小企业发展的相关政策</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rPr>
        <w:sym w:font="Wingdings 2" w:char="0052"/>
      </w:r>
      <w:r>
        <w:rPr>
          <w:rFonts w:hint="eastAsia" w:ascii="宋体" w:hAnsi="宋体" w:eastAsia="宋体" w:cs="宋体"/>
          <w:kern w:val="0"/>
          <w:sz w:val="24"/>
          <w:szCs w:val="24"/>
        </w:rPr>
        <w:t xml:space="preserve">专门面向中小企业采购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□不专门面向中小企业采购</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 xml:space="preserve">面向的企业规模：□中小企业 </w:t>
      </w:r>
      <w:r>
        <w:rPr>
          <w:rFonts w:ascii="宋体" w:hAnsi="宋体" w:eastAsia="宋体" w:cs="宋体"/>
          <w:kern w:val="0"/>
          <w:sz w:val="24"/>
          <w:szCs w:val="24"/>
        </w:rPr>
        <w:t xml:space="preserve"> </w:t>
      </w:r>
      <w:r>
        <w:rPr>
          <w:rFonts w:hint="eastAsia" w:ascii="宋体" w:hAnsi="宋体" w:eastAsia="宋体" w:cs="宋体"/>
          <w:kern w:val="0"/>
          <w:sz w:val="24"/>
          <w:szCs w:val="24"/>
        </w:rPr>
        <w:sym w:font="Wingdings 2" w:char="0052"/>
      </w:r>
      <w:r>
        <w:rPr>
          <w:rFonts w:hint="eastAsia" w:ascii="宋体" w:hAnsi="宋体" w:eastAsia="宋体" w:cs="宋体"/>
          <w:kern w:val="0"/>
          <w:sz w:val="24"/>
          <w:szCs w:val="24"/>
        </w:rPr>
        <w:t>小微企业</w:t>
      </w:r>
    </w:p>
    <w:p>
      <w:pPr>
        <w:widowControl/>
        <w:shd w:val="clear" w:color="auto" w:fill="FFFFFF"/>
        <w:spacing w:line="480" w:lineRule="auto"/>
        <w:ind w:left="315" w:leftChars="150" w:firstLine="480" w:firstLineChars="200"/>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预留形式：</w:t>
      </w:r>
      <w:r>
        <w:rPr>
          <w:rFonts w:hint="eastAsia" w:ascii="宋体" w:hAnsi="宋体" w:eastAsia="宋体" w:cs="宋体"/>
          <w:kern w:val="0"/>
          <w:sz w:val="24"/>
          <w:szCs w:val="24"/>
          <w:highlight w:val="yellow"/>
        </w:rPr>
        <w:sym w:font="Wingdings 2" w:char="0052"/>
      </w:r>
      <w:r>
        <w:rPr>
          <w:rFonts w:hint="eastAsia" w:ascii="宋体" w:hAnsi="宋体" w:eastAsia="宋体" w:cs="宋体"/>
          <w:kern w:val="0"/>
          <w:sz w:val="24"/>
          <w:szCs w:val="24"/>
          <w:highlight w:val="yellow"/>
        </w:rPr>
        <w:t>项目整体预留  □设置专门采购包  □以联合体形式参加  □要求合同分包</w:t>
      </w:r>
    </w:p>
    <w:p>
      <w:pPr>
        <w:widowControl/>
        <w:shd w:val="clear" w:color="auto" w:fill="FFFFFF"/>
        <w:spacing w:line="480" w:lineRule="auto"/>
        <w:ind w:firstLine="840"/>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预留比例：100%</w:t>
      </w:r>
    </w:p>
    <w:p>
      <w:pPr>
        <w:widowControl/>
        <w:shd w:val="clear" w:color="auto" w:fill="FFFFFF"/>
        <w:spacing w:line="480" w:lineRule="auto"/>
        <w:ind w:firstLine="840" w:firstLineChars="350"/>
        <w:rPr>
          <w:rFonts w:ascii="宋体" w:hAnsi="宋体" w:eastAsia="宋体" w:cs="宋体"/>
          <w:kern w:val="0"/>
          <w:sz w:val="24"/>
          <w:szCs w:val="24"/>
        </w:rPr>
      </w:pPr>
      <w:r>
        <w:rPr>
          <w:rFonts w:hint="eastAsia" w:ascii="宋体" w:hAnsi="宋体" w:eastAsia="宋体" w:cs="宋体"/>
          <w:kern w:val="0"/>
          <w:sz w:val="24"/>
          <w:szCs w:val="24"/>
        </w:rPr>
        <w:t>不专门面向的原因：</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□法律法规和国家有关政策明确规定优先或者应当面向事业单位、社会组织等非企业主体采购的</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□因确需使用不可替代的专利、专有技术，基础设施限制，或者提供特定公共服务等原因，只能从中小企业之外的供应商处采购的</w:t>
      </w:r>
    </w:p>
    <w:p>
      <w:pPr>
        <w:widowControl/>
        <w:shd w:val="clear" w:color="auto" w:fill="FFFFFF"/>
        <w:spacing w:line="480" w:lineRule="auto"/>
        <w:ind w:firstLine="840"/>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□按照本办法规定预留采购份额无法确保充分供应、充分竞争，或者存在可能影响政府采购目标实现的情形</w:t>
      </w:r>
    </w:p>
    <w:p>
      <w:pPr>
        <w:widowControl/>
        <w:shd w:val="clear" w:color="auto" w:fill="FFFFFF"/>
        <w:spacing w:line="480" w:lineRule="auto"/>
        <w:ind w:firstLine="840"/>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□框架协议采购项目</w:t>
      </w:r>
    </w:p>
    <w:p>
      <w:pPr>
        <w:widowControl/>
        <w:shd w:val="clear" w:color="auto" w:fill="FFFFFF"/>
        <w:spacing w:line="480" w:lineRule="auto"/>
        <w:ind w:firstLine="840"/>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□省级以上人民政府财政部门规定的其他情形</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i/>
          <w:iCs/>
          <w:color w:val="333333"/>
          <w:kern w:val="0"/>
          <w:sz w:val="24"/>
          <w:szCs w:val="24"/>
        </w:rPr>
        <w:t>注：监狱企业和残疾人福利单位视同小微企业。</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（六）是否采购环境标识产品：是□ 否</w:t>
      </w:r>
      <w:r>
        <w:rPr>
          <w:rFonts w:hint="eastAsia" w:ascii="宋体" w:hAnsi="宋体" w:eastAsia="宋体" w:cs="宋体"/>
          <w:color w:val="333333"/>
          <w:kern w:val="0"/>
          <w:sz w:val="24"/>
          <w:szCs w:val="24"/>
        </w:rPr>
        <w:sym w:font="Wingdings 2" w:char="0052"/>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（七）是否采购节能产品：是□ 否</w:t>
      </w:r>
      <w:r>
        <w:rPr>
          <w:rFonts w:hint="eastAsia" w:ascii="宋体" w:hAnsi="宋体" w:eastAsia="宋体" w:cs="宋体"/>
          <w:color w:val="333333"/>
          <w:kern w:val="0"/>
          <w:sz w:val="24"/>
          <w:szCs w:val="24"/>
        </w:rPr>
        <w:sym w:font="Wingdings 2" w:char="0052"/>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（八）项目的采购标的是否包含进口产品：是□ 否</w:t>
      </w:r>
      <w:r>
        <w:rPr>
          <w:rFonts w:hint="eastAsia" w:ascii="宋体" w:hAnsi="宋体" w:eastAsia="宋体" w:cs="宋体"/>
          <w:color w:val="333333"/>
          <w:kern w:val="0"/>
          <w:sz w:val="24"/>
          <w:szCs w:val="24"/>
        </w:rPr>
        <w:sym w:font="Wingdings 2" w:char="0052"/>
      </w:r>
    </w:p>
    <w:p>
      <w:pPr>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（九）采购标的是否属于政府购买服务：是□（填以下信息）  否</w:t>
      </w:r>
      <w:r>
        <w:rPr>
          <w:rFonts w:hint="eastAsia" w:ascii="宋体" w:hAnsi="宋体" w:eastAsia="宋体" w:cs="宋体"/>
          <w:color w:val="333333"/>
          <w:kern w:val="0"/>
          <w:sz w:val="24"/>
          <w:szCs w:val="24"/>
        </w:rPr>
        <w:sym w:font="Wingdings" w:char="F0FE"/>
      </w:r>
    </w:p>
    <w:p>
      <w:pPr>
        <w:ind w:firstLine="600" w:firstLineChars="250"/>
        <w:rPr>
          <w:rFonts w:ascii="宋体" w:hAnsi="宋体" w:eastAsia="宋体" w:cs="宋体"/>
          <w:color w:val="333333"/>
          <w:kern w:val="0"/>
          <w:sz w:val="24"/>
          <w:szCs w:val="24"/>
        </w:rPr>
      </w:pPr>
      <w:r>
        <w:rPr>
          <w:rFonts w:hint="eastAsia" w:ascii="宋体" w:hAnsi="宋体" w:eastAsia="宋体" w:cs="宋体"/>
          <w:color w:val="333333"/>
          <w:kern w:val="0"/>
          <w:sz w:val="24"/>
          <w:szCs w:val="24"/>
        </w:rPr>
        <w:t>政府购买服务的分类：□政府履职所需辅助性服务 □政府向社会公众提供的公共服务</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（十）是否属于政务信息系统项目：是□  否</w:t>
      </w:r>
      <w:r>
        <w:rPr>
          <w:rFonts w:hint="eastAsia" w:ascii="宋体" w:hAnsi="宋体" w:eastAsia="宋体" w:cs="宋体"/>
          <w:color w:val="333333"/>
          <w:kern w:val="0"/>
          <w:sz w:val="24"/>
          <w:szCs w:val="24"/>
        </w:rPr>
        <w:sym w:font="Wingdings" w:char="F0FE"/>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（十一）是否属于高校、科研院所的科研仪器设备采购：是□  否</w:t>
      </w:r>
      <w:r>
        <w:rPr>
          <w:rFonts w:hint="eastAsia" w:ascii="宋体" w:hAnsi="宋体" w:eastAsia="宋体" w:cs="宋体"/>
          <w:color w:val="333333"/>
          <w:kern w:val="0"/>
          <w:sz w:val="24"/>
          <w:szCs w:val="24"/>
        </w:rPr>
        <w:sym w:font="Wingdings" w:char="F0FE"/>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（十二）是否属于PPP项目：是□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r>
        <w:rPr>
          <w:rFonts w:hint="eastAsia" w:ascii="宋体" w:hAnsi="宋体" w:eastAsia="宋体" w:cs="宋体"/>
          <w:color w:val="333333"/>
          <w:kern w:val="0"/>
          <w:sz w:val="24"/>
          <w:szCs w:val="24"/>
        </w:rPr>
        <w:sym w:font="Wingdings" w:char="F0FE"/>
      </w:r>
    </w:p>
    <w:p>
      <w:pPr>
        <w:widowControl/>
        <w:shd w:val="clear" w:color="auto" w:fill="FFFFFF"/>
        <w:spacing w:line="480" w:lineRule="auto"/>
        <w:outlineLvl w:val="2"/>
        <w:rPr>
          <w:rFonts w:ascii="宋体" w:hAnsi="宋体" w:eastAsia="宋体" w:cs="宋体"/>
          <w:b/>
          <w:bCs/>
          <w:color w:val="333333"/>
          <w:kern w:val="0"/>
          <w:sz w:val="27"/>
          <w:szCs w:val="27"/>
        </w:rPr>
      </w:pPr>
      <w:r>
        <w:rPr>
          <w:rFonts w:hint="eastAsia" w:ascii="宋体" w:hAnsi="宋体" w:eastAsia="宋体" w:cs="宋体"/>
          <w:b/>
          <w:bCs/>
          <w:color w:val="333333"/>
          <w:kern w:val="0"/>
          <w:sz w:val="27"/>
          <w:szCs w:val="27"/>
        </w:rPr>
        <w:t>四、项目需求及分包情况、采购标的</w:t>
      </w:r>
    </w:p>
    <w:p>
      <w:pPr>
        <w:widowControl/>
        <w:shd w:val="clear" w:color="auto" w:fill="FFFFFF"/>
        <w:spacing w:line="480" w:lineRule="auto"/>
        <w:outlineLvl w:val="4"/>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供应商一般资格要求</w:t>
      </w:r>
      <w:r>
        <w:rPr>
          <w:rFonts w:ascii="宋体" w:hAnsi="宋体" w:eastAsia="宋体" w:cs="宋体"/>
          <w:bCs/>
          <w:color w:val="333333"/>
          <w:kern w:val="0"/>
          <w:sz w:val="24"/>
          <w:szCs w:val="24"/>
        </w:rPr>
        <w:t>：</w:t>
      </w:r>
    </w:p>
    <w:tbl>
      <w:tblPr>
        <w:tblStyle w:val="13"/>
        <w:tblpPr w:leftFromText="180" w:rightFromText="180" w:horzAnchor="margin" w:tblpXSpec="center" w:tblpY="-1440"/>
        <w:tblW w:w="10875" w:type="dxa"/>
        <w:tblInd w:w="0" w:type="dxa"/>
        <w:shd w:val="clear" w:color="auto" w:fill="FFFFFF"/>
        <w:tblLayout w:type="fixed"/>
        <w:tblCellMar>
          <w:top w:w="0" w:type="dxa"/>
          <w:left w:w="0" w:type="dxa"/>
          <w:bottom w:w="0" w:type="dxa"/>
          <w:right w:w="0" w:type="dxa"/>
        </w:tblCellMar>
      </w:tblPr>
      <w:tblGrid>
        <w:gridCol w:w="487"/>
        <w:gridCol w:w="4803"/>
        <w:gridCol w:w="5585"/>
      </w:tblGrid>
      <w:tr>
        <w:tblPrEx>
          <w:shd w:val="clear" w:color="auto" w:fill="FFFFFF"/>
          <w:tblCellMar>
            <w:top w:w="0" w:type="dxa"/>
            <w:left w:w="0" w:type="dxa"/>
            <w:bottom w:w="0" w:type="dxa"/>
            <w:right w:w="0" w:type="dxa"/>
          </w:tblCellMar>
        </w:tblPrEx>
        <w:trPr>
          <w:trHeight w:val="480" w:hRule="atLeast"/>
          <w:tblHeader/>
        </w:trPr>
        <w:tc>
          <w:tcPr>
            <w:tcW w:w="487"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序号</w:t>
            </w:r>
          </w:p>
        </w:tc>
        <w:tc>
          <w:tcPr>
            <w:tcW w:w="4803"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资格要求名称</w:t>
            </w:r>
          </w:p>
        </w:tc>
        <w:tc>
          <w:tcPr>
            <w:tcW w:w="5585"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资格要求详细说明</w:t>
            </w:r>
          </w:p>
        </w:tc>
      </w:tr>
      <w:tr>
        <w:tblPrEx>
          <w:shd w:val="clear" w:color="auto" w:fill="FFFFFF"/>
          <w:tblCellMar>
            <w:top w:w="0" w:type="dxa"/>
            <w:left w:w="0" w:type="dxa"/>
            <w:bottom w:w="0" w:type="dxa"/>
            <w:right w:w="0" w:type="dxa"/>
          </w:tblCellMar>
        </w:tblPrEx>
        <w:trPr>
          <w:trHeight w:val="480" w:hRule="atLeast"/>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1</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投标人应具有独立承担民事责任的能力</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tblPrEx>
          <w:shd w:val="clear" w:color="auto" w:fill="FFFFFF"/>
          <w:tblCellMar>
            <w:top w:w="0" w:type="dxa"/>
            <w:left w:w="0" w:type="dxa"/>
            <w:bottom w:w="0" w:type="dxa"/>
            <w:right w:w="0" w:type="dxa"/>
          </w:tblCellMar>
        </w:tblPrEx>
        <w:trPr>
          <w:trHeight w:val="480" w:hRule="atLeast"/>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2</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tblPrEx>
          <w:shd w:val="clear" w:color="auto" w:fill="FFFFFF"/>
          <w:tblCellMar>
            <w:top w:w="0" w:type="dxa"/>
            <w:left w:w="0" w:type="dxa"/>
            <w:bottom w:w="0" w:type="dxa"/>
            <w:right w:w="0" w:type="dxa"/>
          </w:tblCellMar>
        </w:tblPrEx>
        <w:trPr>
          <w:trHeight w:val="480" w:hRule="atLeast"/>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未被列入失信被执行人、重大税收违法案件当事人名单、政府采购严重违法失信行为记录名单</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tblPrEx>
          <w:shd w:val="clear" w:color="auto" w:fill="FFFFFF"/>
          <w:tblCellMar>
            <w:top w:w="0" w:type="dxa"/>
            <w:left w:w="0" w:type="dxa"/>
            <w:bottom w:w="0" w:type="dxa"/>
            <w:right w:w="0" w:type="dxa"/>
          </w:tblCellMar>
        </w:tblPrEx>
        <w:trPr>
          <w:trHeight w:val="480" w:hRule="atLeast"/>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4</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未处于被行政部门禁止参与政府采购活动的期限内</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tblPrEx>
          <w:shd w:val="clear" w:color="auto" w:fill="FFFFFF"/>
          <w:tblCellMar>
            <w:top w:w="0" w:type="dxa"/>
            <w:left w:w="0" w:type="dxa"/>
            <w:bottom w:w="0" w:type="dxa"/>
            <w:right w:w="0" w:type="dxa"/>
          </w:tblCellMar>
        </w:tblPrEx>
        <w:trPr>
          <w:trHeight w:val="480" w:hRule="atLeast"/>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5</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行贿犯罪记录</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tblPrEx>
          <w:shd w:val="clear" w:color="auto" w:fill="FFFFFF"/>
          <w:tblCellMar>
            <w:top w:w="0" w:type="dxa"/>
            <w:left w:w="0" w:type="dxa"/>
            <w:bottom w:w="0" w:type="dxa"/>
            <w:right w:w="0" w:type="dxa"/>
          </w:tblCellMar>
        </w:tblPrEx>
        <w:trPr>
          <w:trHeight w:val="480" w:hRule="atLeast"/>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6</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单位负责人为同一人或者存在直接控股、管理关系的不同供应商，不得参加同一项目的投标</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tblPrEx>
          <w:shd w:val="clear" w:color="auto" w:fill="FFFFFF"/>
          <w:tblCellMar>
            <w:top w:w="0" w:type="dxa"/>
            <w:left w:w="0" w:type="dxa"/>
            <w:bottom w:w="0" w:type="dxa"/>
            <w:right w:w="0" w:type="dxa"/>
          </w:tblCellMar>
        </w:tblPrEx>
        <w:trPr>
          <w:trHeight w:val="480" w:hRule="atLeast"/>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7</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投标文件签章</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投标文件加盖有投标人（法定名称）电子签章。【说明：无须提供证明材料，上传空白页即可，不对本项上传的材料作资格审查】</w:t>
            </w:r>
          </w:p>
        </w:tc>
      </w:tr>
      <w:tr>
        <w:tblPrEx>
          <w:shd w:val="clear" w:color="auto" w:fill="FFFFFF"/>
          <w:tblCellMar>
            <w:top w:w="0" w:type="dxa"/>
            <w:left w:w="0" w:type="dxa"/>
            <w:bottom w:w="0" w:type="dxa"/>
            <w:right w:w="0" w:type="dxa"/>
          </w:tblCellMar>
        </w:tblPrEx>
        <w:trPr>
          <w:trHeight w:val="480" w:hRule="atLeast"/>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8</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投标文件资格响应文件的语言</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语言符合招标文件的要求。 【说明：投标人无须提供证明材料，上传空白页即可，不对本项上传的材料作资格审查】</w:t>
            </w:r>
          </w:p>
        </w:tc>
      </w:tr>
      <w:tr>
        <w:tblPrEx>
          <w:shd w:val="clear" w:color="auto" w:fill="FFFFFF"/>
          <w:tblCellMar>
            <w:top w:w="0" w:type="dxa"/>
            <w:left w:w="0" w:type="dxa"/>
            <w:bottom w:w="0" w:type="dxa"/>
            <w:right w:w="0" w:type="dxa"/>
          </w:tblCellMar>
        </w:tblPrEx>
        <w:trPr>
          <w:trHeight w:val="480" w:hRule="atLeast"/>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9</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法律、行政法规规定的其他条件</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采购人对法律、行政法规规定的其他条件无其他特殊要求，投标人可不提供证明材料。 【说明：投标人无须提供证明材料，上传空白页即可，不对本项上传的材料作资格审查】</w:t>
            </w:r>
          </w:p>
        </w:tc>
      </w:tr>
      <w:tr>
        <w:tblPrEx>
          <w:shd w:val="clear" w:color="auto" w:fill="FFFFFF"/>
        </w:tblPrEx>
        <w:trPr>
          <w:trHeight w:val="480" w:hRule="atLeast"/>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10</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不属于国家相关法律法规规定的其他禁止参加投标的情形</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p>
      <w:pPr>
        <w:widowControl/>
        <w:shd w:val="clear" w:color="auto" w:fill="FFFFFF"/>
        <w:spacing w:line="480" w:lineRule="auto"/>
        <w:outlineLvl w:val="4"/>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供应商特殊资格要求（如有）：无</w:t>
      </w:r>
    </w:p>
    <w:tbl>
      <w:tblPr>
        <w:tblStyle w:val="14"/>
        <w:tblW w:w="10915"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969"/>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480" w:lineRule="auto"/>
              <w:outlineLvl w:val="4"/>
              <w:rPr>
                <w:rFonts w:ascii="宋体" w:hAnsi="宋体" w:eastAsia="宋体" w:cs="宋体"/>
                <w:bCs/>
                <w:color w:val="333333"/>
                <w:kern w:val="0"/>
                <w:sz w:val="24"/>
                <w:szCs w:val="24"/>
              </w:rPr>
            </w:pPr>
            <w:r>
              <w:rPr>
                <w:rFonts w:ascii="宋体" w:hAnsi="宋体" w:eastAsia="宋体" w:cs="宋体"/>
                <w:b/>
                <w:bCs/>
                <w:kern w:val="0"/>
                <w:sz w:val="24"/>
                <w:szCs w:val="24"/>
              </w:rPr>
              <w:t>序号</w:t>
            </w:r>
          </w:p>
        </w:tc>
        <w:tc>
          <w:tcPr>
            <w:tcW w:w="3969" w:type="dxa"/>
          </w:tcPr>
          <w:p>
            <w:pPr>
              <w:widowControl/>
              <w:spacing w:line="480" w:lineRule="auto"/>
              <w:jc w:val="center"/>
              <w:outlineLvl w:val="4"/>
              <w:rPr>
                <w:rFonts w:ascii="宋体" w:hAnsi="宋体" w:eastAsia="宋体" w:cs="宋体"/>
                <w:bCs/>
                <w:color w:val="333333"/>
                <w:kern w:val="0"/>
                <w:sz w:val="24"/>
                <w:szCs w:val="24"/>
              </w:rPr>
            </w:pPr>
            <w:r>
              <w:rPr>
                <w:rFonts w:ascii="宋体" w:hAnsi="宋体" w:eastAsia="宋体" w:cs="宋体"/>
                <w:b/>
                <w:bCs/>
                <w:kern w:val="0"/>
                <w:sz w:val="24"/>
                <w:szCs w:val="24"/>
              </w:rPr>
              <w:t>资格要求名称</w:t>
            </w:r>
          </w:p>
        </w:tc>
        <w:tc>
          <w:tcPr>
            <w:tcW w:w="6237" w:type="dxa"/>
          </w:tcPr>
          <w:p>
            <w:pPr>
              <w:widowControl/>
              <w:spacing w:line="480" w:lineRule="auto"/>
              <w:jc w:val="center"/>
              <w:outlineLvl w:val="4"/>
              <w:rPr>
                <w:rFonts w:ascii="宋体" w:hAnsi="宋体" w:eastAsia="宋体" w:cs="宋体"/>
                <w:bCs/>
                <w:color w:val="333333"/>
                <w:kern w:val="0"/>
                <w:sz w:val="24"/>
                <w:szCs w:val="24"/>
              </w:rPr>
            </w:pPr>
            <w:r>
              <w:rPr>
                <w:rFonts w:ascii="宋体" w:hAnsi="宋体" w:eastAsia="宋体" w:cs="宋体"/>
                <w:b/>
                <w:bCs/>
                <w:kern w:val="0"/>
                <w:sz w:val="24"/>
                <w:szCs w:val="24"/>
              </w:rPr>
              <w:t>资格要求详细说明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480" w:lineRule="auto"/>
              <w:outlineLvl w:val="4"/>
              <w:rPr>
                <w:rFonts w:ascii="宋体" w:hAnsi="宋体" w:eastAsia="宋体" w:cs="宋体"/>
                <w:bCs/>
                <w:color w:val="333333"/>
                <w:kern w:val="0"/>
                <w:sz w:val="24"/>
                <w:szCs w:val="24"/>
              </w:rPr>
            </w:pPr>
          </w:p>
        </w:tc>
        <w:tc>
          <w:tcPr>
            <w:tcW w:w="3969" w:type="dxa"/>
          </w:tcPr>
          <w:p>
            <w:pPr>
              <w:widowControl/>
              <w:spacing w:line="480" w:lineRule="auto"/>
              <w:outlineLvl w:val="4"/>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无</w:t>
            </w:r>
          </w:p>
        </w:tc>
        <w:tc>
          <w:tcPr>
            <w:tcW w:w="6237" w:type="dxa"/>
          </w:tcPr>
          <w:p>
            <w:pPr>
              <w:widowControl/>
              <w:spacing w:line="480" w:lineRule="auto"/>
              <w:outlineLvl w:val="4"/>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无</w:t>
            </w:r>
          </w:p>
        </w:tc>
      </w:tr>
    </w:tbl>
    <w:p/>
    <w:p/>
    <w:p>
      <w:pPr>
        <w:widowControl/>
        <w:shd w:val="clear" w:color="auto" w:fill="FFFFFF"/>
        <w:spacing w:line="480" w:lineRule="auto"/>
        <w:ind w:firstLine="420"/>
        <w:outlineLvl w:val="4"/>
        <w:rPr>
          <w:rFonts w:ascii="宋体" w:hAnsi="宋体" w:eastAsia="宋体" w:cs="宋体"/>
          <w:color w:val="FF0000"/>
          <w:kern w:val="0"/>
          <w:sz w:val="24"/>
          <w:szCs w:val="24"/>
        </w:rPr>
      </w:pPr>
      <w:r>
        <w:rPr>
          <w:rFonts w:hint="eastAsia" w:ascii="宋体" w:hAnsi="宋体" w:eastAsia="宋体" w:cs="宋体"/>
          <w:color w:val="FF0000"/>
          <w:kern w:val="0"/>
          <w:sz w:val="24"/>
          <w:szCs w:val="24"/>
        </w:rPr>
        <w:t>技术要求与标准：</w:t>
      </w:r>
    </w:p>
    <w:p>
      <w:r>
        <w:rPr>
          <w:rFonts w:hint="eastAsia"/>
        </w:rPr>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p>
      <w:pPr>
        <w:widowControl/>
        <w:shd w:val="clear" w:color="auto" w:fill="FFFFFF"/>
        <w:spacing w:line="480" w:lineRule="auto"/>
        <w:ind w:firstLine="420"/>
        <w:outlineLvl w:val="4"/>
        <w:rPr>
          <w:color w:val="FF0000"/>
          <w:sz w:val="24"/>
        </w:rPr>
      </w:pPr>
      <w:r>
        <w:rPr>
          <w:rFonts w:hint="eastAsia"/>
          <w:color w:val="FF0000"/>
          <w:sz w:val="24"/>
        </w:rPr>
        <w:t>品目信息一的</w:t>
      </w:r>
      <w:r>
        <w:rPr>
          <w:color w:val="FF0000"/>
          <w:sz w:val="24"/>
        </w:rPr>
        <w:t>标的参数：</w:t>
      </w:r>
    </w:p>
    <w:tbl>
      <w:tblPr>
        <w:tblStyle w:val="13"/>
        <w:tblW w:w="8400" w:type="dxa"/>
        <w:tblInd w:w="96" w:type="dxa"/>
        <w:tblLayout w:type="fixed"/>
        <w:tblCellMar>
          <w:top w:w="0" w:type="dxa"/>
          <w:left w:w="108" w:type="dxa"/>
          <w:bottom w:w="0" w:type="dxa"/>
          <w:right w:w="108" w:type="dxa"/>
        </w:tblCellMar>
      </w:tblPr>
      <w:tblGrid>
        <w:gridCol w:w="1080"/>
        <w:gridCol w:w="1080"/>
        <w:gridCol w:w="6240"/>
      </w:tblGrid>
      <w:tr>
        <w:trPr>
          <w:trHeight w:val="6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333333"/>
                <w:sz w:val="24"/>
                <w:szCs w:val="24"/>
              </w:rPr>
            </w:pPr>
            <w:r>
              <w:rPr>
                <w:rStyle w:val="58"/>
                <w:rFonts w:hint="default"/>
                <w:lang w:bidi="ar"/>
              </w:rPr>
              <w:t>参数性质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333333"/>
                <w:sz w:val="24"/>
                <w:szCs w:val="24"/>
              </w:rPr>
            </w:pPr>
            <w:r>
              <w:rPr>
                <w:rStyle w:val="58"/>
                <w:rFonts w:hint="default"/>
                <w:lang w:bidi="ar"/>
              </w:rPr>
              <w:t>序号</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333333"/>
                <w:sz w:val="24"/>
                <w:szCs w:val="24"/>
              </w:rPr>
            </w:pPr>
            <w:r>
              <w:rPr>
                <w:rStyle w:val="58"/>
                <w:rFonts w:hint="default"/>
                <w:lang w:bidi="ar"/>
              </w:rPr>
              <w:t>技术参数</w:t>
            </w:r>
            <w:r>
              <w:rPr>
                <w:rStyle w:val="58"/>
                <w:rFonts w:hint="eastAsia" w:eastAsia="宋体"/>
                <w:lang w:eastAsia="zh-CN" w:bidi="ar"/>
              </w:rPr>
              <w:t>、</w:t>
            </w:r>
            <w:r>
              <w:rPr>
                <w:rStyle w:val="58"/>
                <w:rFonts w:hint="eastAsia" w:eastAsia="宋体"/>
                <w:highlight w:val="yellow"/>
                <w:lang w:val="en-US" w:eastAsia="zh-CN" w:bidi="ar"/>
              </w:rPr>
              <w:t>服务</w:t>
            </w:r>
            <w:r>
              <w:rPr>
                <w:rStyle w:val="58"/>
                <w:rFonts w:hint="default"/>
                <w:lang w:bidi="ar"/>
              </w:rPr>
              <w:t>指标</w:t>
            </w:r>
          </w:p>
        </w:tc>
      </w:tr>
      <w:tr>
        <w:tblPrEx>
          <w:tblCellMar>
            <w:top w:w="0" w:type="dxa"/>
            <w:left w:w="108" w:type="dxa"/>
            <w:bottom w:w="0" w:type="dxa"/>
            <w:right w:w="108" w:type="dxa"/>
          </w:tblCellMar>
        </w:tblPrEx>
        <w:trPr>
          <w:trHeight w:val="62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4"/>
                <w:szCs w:val="24"/>
              </w:rPr>
            </w:pPr>
            <w:commentRangeStart w:id="0"/>
            <w:r>
              <w:rPr>
                <w:rFonts w:hint="eastAsia" w:ascii="宋体" w:hAnsi="宋体" w:eastAsia="宋体" w:cs="宋体"/>
                <w:color w:val="000000"/>
                <w:kern w:val="0"/>
                <w:sz w:val="24"/>
                <w:szCs w:val="24"/>
                <w:lang w:bidi="ar"/>
              </w:rPr>
              <w:t>技术性</w:t>
            </w:r>
            <w:commentRangeEnd w:id="0"/>
            <w:r>
              <w:rPr>
                <w:rStyle w:val="16"/>
              </w:rPr>
              <w:commentReference w:id="0"/>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供应商不得以PPT录屏形式进行制作，或长时间处于老师单一画面，知识点包装简单等。（对于此条需要单独出具承诺函，并加盖公章。）</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b w:val="0"/>
                <w:bCs w:val="0"/>
                <w:lang w:bidi="ar"/>
              </w:rPr>
              <w:t>视频课程制作内容主要由基于思政示范课特征的教学视频成片构成，单门课程不低于两个视频，一个说课视频，一个微课视频，单个视频时长为10分钟左右，视频中图像、文字、动画、声音应清晰、稳定，要构图合理、音画同步、色彩和谐，教学内容呈现形式应多元化且生动形象，能全面真实地反映教学情境。</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课程制作整体流程需满足如下步骤，缺一不可；课程制作培训服务、课程建设前期准备工作、课程建设中期拍摄工作、后期制作、课程运营服务。</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整体课程制作环节中，供应商需要使用课程制作管理软件进行管控，承诺后期功能根据学校需求进行定制开发，学校不再单独收取费用，定制开发根据学校要求，若学校有需求需安排不低于2名软件工程师提供驻场服务，保障课程制作管理软件的功能更新及正常运行。需要提供驻场软件工程师人员信息表。</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▲为了提升课程制作整体进度，确保课程能够顺利参评省、国家级课程评选，供应商承诺课程中标结果公式后3天内需要完成其中3门课程的整体培训、拍摄、样片定板（学校和老师共同参与）、 成片整体制作、成片整体意见修改、字幕校正等。</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课程制作培训服务；课程制作前需在本校举办至少一场课程制作培训会议。培训应提前向学校提交纸质版或电子版培训方案，培训需完整、清晰讲解课程制作流程及各阶段主要工作内容；包括但不限于课程整体制作前准备（讲稿、素材..）、课程整体制作步骤、制作步骤的起止时间，老师与制作公司的配合及分工、课程拍摄注意事项等。</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课程建设前期准备工作；供应商需要针对每门课程的拍摄场景进行设计，供课程团队选择，设计需要凸显课程整体教学元素。确定拍摄场景后，需对每一门课程进行整体呈现（脚本）设计，需体现整体颜色搭配、整体呈现风格，拍摄分镜头、素材呈现方式、文字呈现方式、画面切换动作等，部分需要配图进行展示。设计完毕后才能制作样片。</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拍摄环境；拍摄现场光线充足，制作公司应配备有主光、辅助光和背景光。现场环境要安静，避免出现有广告嫌疑或与课程无关的标识等内容。学校可提供基础环境，制作公司需要进行场景处理、布置。</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9</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拍摄场地；学校支持提供基础场地，对于课程拍摄需要的特殊场地要求除外。供应商需调研拍摄场地,承担拍摄环境改造,并确保拍摄场地符合视频制作的质量要求。</w:t>
            </w:r>
          </w:p>
        </w:tc>
      </w:tr>
      <w:tr>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10</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拍摄方式；采用二机位及以上拍摄方式，机位设置能够满足课程内容拍摄需求。提供不少于4种的拍摄模式；如室内访谈式，抠像模式，外景拍摄模式，实训操作模式。</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11</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拍摄场景设计与搭建布景；供应商需要严格按照与老师确定的各对应讲次的拍摄模式，进行拍摄场景的设计与搭建布景，布景需要凸显教学主题内容。如绿幕模式、实景模式、访谈模式、场景实操模式、外景采风模式或多模式融合等。</w:t>
            </w:r>
          </w:p>
        </w:tc>
      </w:tr>
      <w:tr>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12</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拍摄设备要求；录像设备: 常规通用画面拍摄需求，供应商需提供广播级全高清摄录机、摇臂、1.5米小型轨等，分辨率1920*1080，录制视频宽高比16:9，视频帧率为不低于25帧/秒。关于常规通用画面拍摄及超高清画面拍摄，每台摄像机至少配备一套，满足两机位拍摄需求，且进行外景拍摄时需有平稳流畅的移动镜头。</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13</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 为满足教学需要的超高清画面需求，供应商提供摄像机需支持2/3英寸3片4K CMOS 、120fps的高清高帧率拍摄、灵敏度F12 (1080/59.94i)、F13 (1080/50i) 、F12 (2160/59.94p)、F13 (2160/50p) 、支持OETF：HLG/S-Log3、色域：BT.2020/S-Gamut3/S-Gamut3.cine超高清画面拍摄；供应商提供至少两台购买相关参数设备的发票复印件及设备支付凭证（首期款或尾款），同时提供其设备官网相关参数信息截图，并加盖供应商公章。</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14</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rPr>
            </w:pPr>
            <w:r>
              <w:rPr>
                <w:rStyle w:val="59"/>
                <w:rFonts w:hint="default"/>
                <w:b/>
                <w:bCs/>
                <w:lang w:bidi="ar"/>
              </w:rPr>
              <w:t>录音设备:</w:t>
            </w:r>
            <w:r>
              <w:rPr>
                <w:rStyle w:val="59"/>
                <w:rFonts w:hint="default"/>
                <w:lang w:bidi="ar"/>
              </w:rPr>
              <w:t>需有专业的拾音设备进行拾音，使用多个专业级话筒,保证教师发言的录音质量。</w:t>
            </w:r>
          </w:p>
          <w:p>
            <w:pPr>
              <w:widowControl/>
              <w:jc w:val="left"/>
              <w:textAlignment w:val="center"/>
              <w:rPr>
                <w:rStyle w:val="59"/>
                <w:rFonts w:hint="default"/>
                <w:lang w:bidi="ar"/>
              </w:rPr>
            </w:pPr>
            <w:r>
              <w:rPr>
                <w:rStyle w:val="59"/>
                <w:rFonts w:hint="default"/>
                <w:b/>
                <w:bCs/>
                <w:lang w:bidi="ar"/>
              </w:rPr>
              <w:t>提词器：</w:t>
            </w:r>
            <w:r>
              <w:rPr>
                <w:rStyle w:val="59"/>
                <w:rFonts w:hint="default"/>
                <w:lang w:bidi="ar"/>
              </w:rPr>
              <w:t>现场不低于一台高清提词器。</w:t>
            </w:r>
          </w:p>
          <w:p>
            <w:pPr>
              <w:widowControl/>
              <w:jc w:val="left"/>
              <w:textAlignment w:val="center"/>
            </w:pPr>
            <w:r>
              <w:rPr>
                <w:rStyle w:val="59"/>
                <w:rFonts w:hint="default"/>
                <w:b/>
                <w:bCs/>
                <w:lang w:bidi="ar"/>
              </w:rPr>
              <w:t>灯：</w:t>
            </w:r>
            <w:r>
              <w:rPr>
                <w:rStyle w:val="59"/>
                <w:rFonts w:hint="default"/>
                <w:lang w:bidi="ar"/>
              </w:rPr>
              <w:t>专业影视摄影镝灯、LED面光灯、柔光灯等。</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15</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拍摄人员</w:t>
            </w:r>
            <w:r>
              <w:rPr>
                <w:rStyle w:val="59"/>
                <w:rFonts w:hint="eastAsia" w:eastAsia="宋体"/>
                <w:lang w:eastAsia="zh-CN" w:bidi="ar"/>
              </w:rPr>
              <w:t>：</w:t>
            </w:r>
            <w:r>
              <w:rPr>
                <w:rStyle w:val="59"/>
                <w:rFonts w:hint="default"/>
                <w:lang w:bidi="ar"/>
              </w:rPr>
              <w:t>除编导外，其他现场拍摄工作人员的配备不低于两名。编导、摄影师、灯光师、场记人员、化妆师等工作岗位由供应商安排人员，课程讲师由采购方安排。拍摄人员全程需要指导老师的肢体语言与面部表情。</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bidi="ar"/>
              </w:rPr>
              <w:t>1</w:t>
            </w:r>
            <w:r>
              <w:rPr>
                <w:rFonts w:hint="eastAsia" w:ascii="宋体" w:hAnsi="宋体" w:eastAsia="宋体" w:cs="宋体"/>
                <w:color w:val="000000"/>
                <w:kern w:val="0"/>
                <w:sz w:val="24"/>
                <w:szCs w:val="24"/>
                <w:lang w:val="en-US" w:eastAsia="zh-CN" w:bidi="ar"/>
              </w:rPr>
              <w:t>6</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lang w:bidi="ar"/>
              </w:rPr>
            </w:pPr>
            <w:r>
              <w:rPr>
                <w:rStyle w:val="59"/>
                <w:rFonts w:hint="default"/>
                <w:b/>
                <w:bCs/>
                <w:lang w:bidi="ar"/>
              </w:rPr>
              <w:t>教师形象设计</w:t>
            </w:r>
            <w:r>
              <w:rPr>
                <w:rStyle w:val="59"/>
                <w:rFonts w:hint="eastAsia" w:eastAsia="宋体"/>
                <w:b/>
                <w:bCs/>
                <w:lang w:eastAsia="zh-CN" w:bidi="ar"/>
              </w:rPr>
              <w:t>：</w:t>
            </w:r>
            <w:r>
              <w:rPr>
                <w:rStyle w:val="59"/>
                <w:rFonts w:hint="default"/>
                <w:lang w:bidi="ar"/>
              </w:rPr>
              <w:t>在拍摄前期需要对老师的课程主题进行形象设计，包括拍摄当天的服装、妆容、发型，同时开展面部表情、肢体语言、行为语态技巧指导等。</w:t>
            </w:r>
          </w:p>
          <w:p>
            <w:pPr>
              <w:widowControl/>
              <w:jc w:val="left"/>
              <w:textAlignment w:val="center"/>
            </w:pPr>
            <w:r>
              <w:rPr>
                <w:rStyle w:val="59"/>
                <w:rFonts w:hint="eastAsia" w:eastAsia="宋体"/>
                <w:b/>
                <w:bCs/>
                <w:lang w:val="en-US" w:eastAsia="zh-CN" w:bidi="ar"/>
              </w:rPr>
              <w:t>跟妆：</w:t>
            </w:r>
            <w:r>
              <w:rPr>
                <w:rStyle w:val="59"/>
                <w:rFonts w:hint="default"/>
                <w:lang w:bidi="ar"/>
              </w:rPr>
              <w:t>拍摄全过程需要跟妆。</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17</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拍摄其他要求；视频应原创度高、现场实体教具或虚拟合成的图形、图像、影像应高清显示，比例正常；教师语言及背景声音应清晰无噪，搭配和谐；整体色调统一、构图合理、空间感强；与拍摄场景及课程内容高度契合；与老师着装形成鲜明对比又不失协调。</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18</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NG及场记：编导需全程监视拍摄过程，发现课程教师的讲解内容错误或口误等现象时，应及时做出调整，并由场记人员记录好场次及NG镜头，及时更正重新拍摄。</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19</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录屏：对课程讲师需要进行实践操作演示的内容，拍摄团队应协助课程讲师实施录屏和录音，作为课程后期剪辑的必要素材。</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教具素材:拍摄视频内的多类型教具素材，均需要高清、准确的融入课程教学内容。讲师及供应商提供的教具素材在使用前，需向课程教师询问确认是否符合教学内容。必要时可采用实拍素材方式进行展示。</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21</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在课程制作阶段，供应商需要与学校及课程负责人确认样片。</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22</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b/>
                <w:bCs/>
                <w:lang w:bidi="ar"/>
              </w:rPr>
              <w:t>片头与片尾设计：</w:t>
            </w:r>
            <w:r>
              <w:rPr>
                <w:rStyle w:val="59"/>
                <w:rFonts w:hint="default"/>
                <w:lang w:bidi="ar"/>
              </w:rPr>
              <w:t>片头中的图形图像、动画、音影素材应与课程教学内容协调。一般为8-18秒，老师特殊要求除外。应为每门课程设计专用的片头、片尾并输出交付成片。需</w:t>
            </w:r>
            <w:r>
              <w:rPr>
                <w:rStyle w:val="59"/>
                <w:rFonts w:hint="default"/>
                <w:b/>
                <w:bCs/>
                <w:lang w:bidi="ar"/>
              </w:rPr>
              <w:t>呈现:</w:t>
            </w:r>
            <w:r>
              <w:rPr>
                <w:rStyle w:val="59"/>
                <w:rFonts w:hint="default"/>
                <w:lang w:bidi="ar"/>
              </w:rPr>
              <w:t>学校名称、学校LOGO、课程名称，其余信息根据课程负责人需求确定添加。</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val="en-US" w:eastAsia="zh-CN" w:bidi="ar"/>
              </w:rPr>
              <w:t>3</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b/>
                <w:bCs/>
                <w:lang w:bidi="ar"/>
              </w:rPr>
              <w:t>字幕制作：</w:t>
            </w:r>
            <w:r>
              <w:rPr>
                <w:rStyle w:val="59"/>
                <w:rFonts w:hint="default"/>
                <w:lang w:bidi="ar"/>
              </w:rPr>
              <w:t>根据老师录音、讲稿进行视频字幕处理，字幕中文字幕，要求音画同步。中文字幕，制作公司应实施文字校对，无错字、别字、漏字（含数字及公示）。</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val="en-US" w:eastAsia="zh-CN" w:bidi="ar"/>
              </w:rPr>
              <w:t>4</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lang w:bidi="ar"/>
              </w:rPr>
            </w:pPr>
            <w:r>
              <w:rPr>
                <w:rStyle w:val="59"/>
                <w:rFonts w:hint="default"/>
                <w:lang w:bidi="ar"/>
              </w:rPr>
              <w:t>本次课程制作需要使用EDIUS、Premiere等专业非线性编辑系统软件对音视频进行有效处理，例如；双声道处理、抠像、颜色校正、视频降噪、音频降噪，以保证满足教育部对视频画面的严格要求。</w:t>
            </w:r>
          </w:p>
          <w:p>
            <w:pPr>
              <w:widowControl/>
              <w:jc w:val="left"/>
              <w:textAlignment w:val="center"/>
            </w:pPr>
            <w:r>
              <w:rPr>
                <w:rStyle w:val="59"/>
                <w:rFonts w:hint="default"/>
                <w:lang w:bidi="ar"/>
              </w:rPr>
              <w:t>在使用专业非线性编辑系统Premiere剪掉多余镜头后，保证制作的视频画面美观、排版规范、无硬伤、片花无错误、逻辑完整等。根据课程内容进行选择添加背景音乐场景特效、背景板、引文字体、字体颜色凸显、构图排版、转场特效等，所有内容编辑结束之后，最后渲染成片。</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25</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初剪：由后期编辑师根据场记资料，剪辑出有效视频，并对视频进行基本处理（抠像、调色、调音等），初剪须保证教学内容完整、准确，不可保留无效的内容，不可剪掉有效的内容、不可出现思想导向性及学术性错误。</w:t>
            </w:r>
          </w:p>
        </w:tc>
      </w:tr>
      <w:tr>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26</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59"/>
                <w:rFonts w:hint="default"/>
                <w:lang w:bidi="ar"/>
              </w:rPr>
              <w:t>教学视频所显示的画面元素布局设计合理：结合课程内容，合理设计视频显示区域中授课教师、教学内容、辅助的图像影像素材、动画特效的布局排版。适当出现文字设计、图标设计、图片设计、重点标注、转场设计、动画设计等特效。显示的文字、图形、图像、图标及动画应与教师语言呈现的教学内容保持音画同步。视频中图像、文字、动画、声音应清晰、稳定，要构图合理、音画同步，色彩和谐。教学内容呈现形式应多元化且生动形象，能全面真实地反映教学情境。</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27</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bidi="ar"/>
              </w:rPr>
            </w:pPr>
            <w:r>
              <w:rPr>
                <w:rStyle w:val="59"/>
                <w:rFonts w:hint="default"/>
                <w:b/>
                <w:bCs/>
                <w:lang w:bidi="ar"/>
              </w:rPr>
              <w:t>稳定性：</w:t>
            </w:r>
            <w:r>
              <w:rPr>
                <w:rStyle w:val="59"/>
                <w:rFonts w:hint="default"/>
                <w:b w:val="0"/>
                <w:bCs w:val="0"/>
                <w:lang w:bidi="ar"/>
              </w:rPr>
              <w:t>全片图像同步性能稳定，无失步现象，CTL同步控制信号连续；图像无抖动跳跃，色彩无突变，编辑点处图像稳定。</w:t>
            </w:r>
          </w:p>
          <w:p>
            <w:pPr>
              <w:widowControl/>
              <w:jc w:val="left"/>
              <w:textAlignment w:val="center"/>
              <w:rPr>
                <w:rStyle w:val="59"/>
                <w:rFonts w:hint="default"/>
                <w:b w:val="0"/>
                <w:bCs w:val="0"/>
                <w:lang w:bidi="ar"/>
              </w:rPr>
            </w:pPr>
            <w:r>
              <w:rPr>
                <w:rStyle w:val="59"/>
                <w:rFonts w:hint="default"/>
                <w:b/>
                <w:bCs/>
                <w:lang w:bidi="ar"/>
              </w:rPr>
              <w:t>色调：</w:t>
            </w:r>
            <w:r>
              <w:rPr>
                <w:rStyle w:val="59"/>
                <w:rFonts w:hint="default"/>
                <w:b w:val="0"/>
                <w:bCs w:val="0"/>
                <w:lang w:bidi="ar"/>
              </w:rPr>
              <w:t>白平衡正确，无明显偏色，多机拍摄的镜头衔接处无明显色差。</w:t>
            </w:r>
          </w:p>
          <w:p>
            <w:pPr>
              <w:widowControl/>
              <w:jc w:val="left"/>
              <w:textAlignment w:val="center"/>
              <w:rPr>
                <w:rStyle w:val="59"/>
                <w:rFonts w:hint="default"/>
                <w:b w:val="0"/>
                <w:bCs w:val="0"/>
                <w:lang w:bidi="ar"/>
              </w:rPr>
            </w:pPr>
            <w:r>
              <w:rPr>
                <w:rStyle w:val="59"/>
                <w:rFonts w:hint="default"/>
                <w:b/>
                <w:bCs/>
                <w:lang w:bidi="ar"/>
              </w:rPr>
              <w:t>信噪比：</w:t>
            </w:r>
            <w:r>
              <w:rPr>
                <w:rStyle w:val="59"/>
                <w:rFonts w:hint="default"/>
                <w:b w:val="0"/>
                <w:bCs w:val="0"/>
                <w:lang w:bidi="ar"/>
              </w:rPr>
              <w:t>图像信噪比不低于55dB，无明显杂波。</w:t>
            </w:r>
          </w:p>
          <w:p>
            <w:pPr>
              <w:widowControl/>
              <w:jc w:val="left"/>
              <w:textAlignment w:val="center"/>
              <w:rPr>
                <w:rStyle w:val="59"/>
                <w:rFonts w:hint="default"/>
                <w:b w:val="0"/>
                <w:bCs w:val="0"/>
                <w:lang w:bidi="ar"/>
              </w:rPr>
            </w:pPr>
            <w:r>
              <w:rPr>
                <w:rStyle w:val="59"/>
                <w:rFonts w:hint="default"/>
                <w:b/>
                <w:bCs/>
                <w:lang w:bidi="ar"/>
              </w:rPr>
              <w:t>视频电平：</w:t>
            </w:r>
            <w:r>
              <w:rPr>
                <w:rStyle w:val="59"/>
                <w:rFonts w:hint="default"/>
                <w:b w:val="0"/>
                <w:bCs w:val="0"/>
                <w:lang w:bidi="ar"/>
              </w:rPr>
              <w:t>视频全讯号幅度为1Ⅴp-p，最大不超过1.1Ⅴ p-p。其中，消隐电平为0V时，白电平幅度0.7Ⅴp-p，同步信号-0.3V，色同步信号幅度0.3V p-p (以消隐线上下对称)，全片一致。</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28</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bidi="ar"/>
              </w:rPr>
            </w:pPr>
            <w:r>
              <w:rPr>
                <w:rStyle w:val="59"/>
                <w:rFonts w:hint="default"/>
                <w:b/>
                <w:bCs/>
                <w:lang w:bidi="ar"/>
              </w:rPr>
              <w:t>音频</w:t>
            </w:r>
            <w:r>
              <w:rPr>
                <w:rStyle w:val="59"/>
                <w:rFonts w:hint="eastAsia" w:eastAsia="宋体"/>
                <w:b/>
                <w:bCs/>
                <w:lang w:eastAsia="zh-CN" w:bidi="ar"/>
              </w:rPr>
              <w:t>：</w:t>
            </w:r>
            <w:r>
              <w:rPr>
                <w:rStyle w:val="59"/>
                <w:rFonts w:hint="default"/>
                <w:b w:val="0"/>
                <w:bCs w:val="0"/>
                <w:lang w:bidi="ar"/>
              </w:rPr>
              <w:t>声音和画面同步：要求声画同步，无交流声或其他杂音等缺陷。</w:t>
            </w:r>
          </w:p>
          <w:p>
            <w:pPr>
              <w:widowControl/>
              <w:jc w:val="left"/>
              <w:textAlignment w:val="center"/>
              <w:rPr>
                <w:rStyle w:val="59"/>
                <w:rFonts w:hint="eastAsia"/>
                <w:b w:val="0"/>
                <w:bCs w:val="0"/>
                <w:lang w:bidi="ar"/>
              </w:rPr>
            </w:pPr>
            <w:r>
              <w:rPr>
                <w:rStyle w:val="59"/>
                <w:rFonts w:hint="eastAsia"/>
                <w:b/>
                <w:bCs/>
                <w:lang w:bidi="ar"/>
              </w:rPr>
              <w:t>伴音：</w:t>
            </w:r>
            <w:r>
              <w:rPr>
                <w:rStyle w:val="59"/>
                <w:rFonts w:hint="eastAsia"/>
                <w:b w:val="0"/>
                <w:bCs w:val="0"/>
                <w:lang w:bidi="ar"/>
              </w:rPr>
              <w:t>清晰、饱满、圆润，无失真、噪声杂音干扰、音量忽大忽小现象。解说声与现场声无明显比例失调，解说声与背景音乐无明显比例失调。</w:t>
            </w:r>
          </w:p>
          <w:p>
            <w:pPr>
              <w:widowControl/>
              <w:jc w:val="left"/>
              <w:textAlignment w:val="center"/>
              <w:rPr>
                <w:rStyle w:val="59"/>
                <w:rFonts w:hint="default"/>
                <w:b w:val="0"/>
                <w:bCs w:val="0"/>
                <w:lang w:bidi="ar"/>
              </w:rPr>
            </w:pPr>
            <w:r>
              <w:rPr>
                <w:rStyle w:val="59"/>
                <w:rFonts w:hint="eastAsia"/>
                <w:b/>
                <w:bCs/>
                <w:lang w:bidi="ar"/>
              </w:rPr>
              <w:t>声道：</w:t>
            </w:r>
            <w:r>
              <w:rPr>
                <w:rStyle w:val="59"/>
                <w:rFonts w:hint="eastAsia"/>
                <w:b w:val="0"/>
                <w:bCs w:val="0"/>
                <w:lang w:bidi="ar"/>
              </w:rPr>
              <w:t>中文内容音频信号记录于第1声道，音乐、音效、同期声记录于第2声道，若有其。</w:t>
            </w:r>
          </w:p>
          <w:p>
            <w:pPr>
              <w:widowControl/>
              <w:jc w:val="left"/>
              <w:textAlignment w:val="center"/>
              <w:rPr>
                <w:rStyle w:val="59"/>
                <w:rFonts w:hint="default"/>
                <w:b w:val="0"/>
                <w:bCs w:val="0"/>
                <w:lang w:bidi="ar"/>
              </w:rPr>
            </w:pPr>
            <w:r>
              <w:rPr>
                <w:rStyle w:val="59"/>
                <w:rFonts w:hint="default"/>
                <w:b w:val="0"/>
                <w:bCs w:val="0"/>
                <w:lang w:bidi="ar"/>
              </w:rPr>
              <w:t>他文字解说记录于第3声道（如录音设备无第3声道，则录于第2声道）。</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29</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bidi="ar"/>
              </w:rPr>
            </w:pPr>
            <w:r>
              <w:rPr>
                <w:rStyle w:val="59"/>
                <w:rFonts w:hint="default"/>
                <w:b/>
                <w:bCs/>
                <w:lang w:bidi="ar"/>
              </w:rPr>
              <w:t>电平指标：</w:t>
            </w:r>
            <w:r>
              <w:rPr>
                <w:rStyle w:val="59"/>
                <w:rFonts w:hint="default"/>
                <w:b w:val="0"/>
                <w:bCs w:val="0"/>
                <w:lang w:bidi="ar"/>
              </w:rPr>
              <w:t>-2db — -8db声音应无明显失真、放音过冲、过弱。</w:t>
            </w:r>
          </w:p>
          <w:p>
            <w:pPr>
              <w:widowControl/>
              <w:jc w:val="left"/>
              <w:textAlignment w:val="center"/>
              <w:rPr>
                <w:rStyle w:val="59"/>
                <w:rFonts w:hint="eastAsia"/>
                <w:b w:val="0"/>
                <w:bCs w:val="0"/>
                <w:lang w:bidi="ar"/>
              </w:rPr>
            </w:pPr>
            <w:r>
              <w:rPr>
                <w:rStyle w:val="59"/>
                <w:rFonts w:hint="eastAsia"/>
                <w:b/>
                <w:bCs/>
                <w:lang w:bidi="ar"/>
              </w:rPr>
              <w:t>音频信噪比：</w:t>
            </w:r>
            <w:r>
              <w:rPr>
                <w:rStyle w:val="59"/>
                <w:rFonts w:hint="eastAsia"/>
                <w:b w:val="0"/>
                <w:bCs w:val="0"/>
                <w:lang w:bidi="ar"/>
              </w:rPr>
              <w:t>不低于48db。</w:t>
            </w:r>
          </w:p>
          <w:p>
            <w:pPr>
              <w:widowControl/>
              <w:jc w:val="left"/>
              <w:textAlignment w:val="center"/>
              <w:rPr>
                <w:rStyle w:val="59"/>
                <w:rFonts w:hint="eastAsia"/>
                <w:b w:val="0"/>
                <w:bCs w:val="0"/>
                <w:lang w:bidi="ar"/>
              </w:rPr>
            </w:pPr>
            <w:r>
              <w:rPr>
                <w:rStyle w:val="59"/>
                <w:rFonts w:hint="eastAsia"/>
                <w:b/>
                <w:bCs/>
                <w:lang w:bidi="ar"/>
              </w:rPr>
              <w:t>视频帧率：</w:t>
            </w:r>
            <w:r>
              <w:rPr>
                <w:rStyle w:val="59"/>
                <w:rFonts w:hint="eastAsia"/>
                <w:b w:val="0"/>
                <w:bCs w:val="0"/>
                <w:lang w:bidi="ar"/>
              </w:rPr>
              <w:t>不低于25帧/秒。</w:t>
            </w:r>
          </w:p>
          <w:p>
            <w:pPr>
              <w:widowControl/>
              <w:jc w:val="left"/>
              <w:textAlignment w:val="center"/>
              <w:rPr>
                <w:rStyle w:val="59"/>
                <w:rFonts w:hint="default"/>
                <w:b w:val="0"/>
                <w:bCs w:val="0"/>
                <w:lang w:bidi="ar"/>
              </w:rPr>
            </w:pPr>
            <w:r>
              <w:rPr>
                <w:rStyle w:val="59"/>
                <w:rFonts w:hint="eastAsia"/>
                <w:b/>
                <w:bCs/>
                <w:lang w:bidi="ar"/>
              </w:rPr>
              <w:t>扫描方式：</w:t>
            </w:r>
            <w:r>
              <w:rPr>
                <w:rStyle w:val="59"/>
                <w:rFonts w:hint="eastAsia"/>
                <w:b w:val="0"/>
                <w:bCs w:val="0"/>
                <w:lang w:bidi="ar"/>
              </w:rPr>
              <w:t>采用逐行扫描。</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bidi="ar"/>
              </w:rPr>
            </w:pPr>
            <w:r>
              <w:rPr>
                <w:rStyle w:val="59"/>
                <w:rFonts w:hint="default"/>
                <w:b/>
                <w:bCs/>
                <w:lang w:bidi="ar"/>
              </w:rPr>
              <w:t>视频码流率：</w:t>
            </w:r>
            <w:r>
              <w:rPr>
                <w:rStyle w:val="59"/>
                <w:rFonts w:hint="default"/>
                <w:b w:val="0"/>
                <w:bCs w:val="0"/>
                <w:lang w:bidi="ar"/>
              </w:rPr>
              <w:t>动态码流的最低码率不得低于1024Kb。</w:t>
            </w:r>
          </w:p>
          <w:p>
            <w:pPr>
              <w:widowControl/>
              <w:jc w:val="left"/>
              <w:textAlignment w:val="center"/>
              <w:rPr>
                <w:rStyle w:val="59"/>
                <w:rFonts w:hint="eastAsia"/>
                <w:b w:val="0"/>
                <w:bCs w:val="0"/>
                <w:lang w:bidi="ar"/>
              </w:rPr>
            </w:pPr>
            <w:r>
              <w:rPr>
                <w:rStyle w:val="59"/>
                <w:rFonts w:hint="eastAsia"/>
                <w:b/>
                <w:bCs/>
                <w:lang w:bidi="ar"/>
              </w:rPr>
              <w:t>视频分辨率：</w:t>
            </w:r>
            <w:r>
              <w:rPr>
                <w:rStyle w:val="59"/>
                <w:rFonts w:hint="eastAsia"/>
                <w:b w:val="0"/>
                <w:bCs w:val="0"/>
                <w:lang w:bidi="ar"/>
              </w:rPr>
              <w:t>1920×1080。</w:t>
            </w:r>
          </w:p>
          <w:p>
            <w:pPr>
              <w:widowControl/>
              <w:jc w:val="left"/>
              <w:textAlignment w:val="center"/>
              <w:rPr>
                <w:rStyle w:val="59"/>
                <w:rFonts w:hint="default"/>
                <w:b w:val="0"/>
                <w:bCs w:val="0"/>
                <w:lang w:bidi="ar"/>
              </w:rPr>
            </w:pPr>
            <w:r>
              <w:rPr>
                <w:rStyle w:val="59"/>
                <w:rFonts w:hint="eastAsia"/>
                <w:b/>
                <w:bCs/>
                <w:lang w:bidi="ar"/>
              </w:rPr>
              <w:t>视频画幅宽高比：</w:t>
            </w:r>
            <w:r>
              <w:rPr>
                <w:rStyle w:val="59"/>
                <w:rFonts w:hint="eastAsia"/>
                <w:b w:val="0"/>
                <w:bCs w:val="0"/>
                <w:lang w:bidi="ar"/>
              </w:rPr>
              <w:t>16:9。</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31</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bidi="ar"/>
              </w:rPr>
            </w:pPr>
            <w:r>
              <w:rPr>
                <w:rStyle w:val="59"/>
                <w:rFonts w:hint="default"/>
                <w:b w:val="0"/>
                <w:bCs w:val="0"/>
                <w:lang w:bidi="ar"/>
              </w:rPr>
              <w:t>音频压缩格式及技术参数: 音频压缩采用AAC(MPEG4 Part3)格式。采样率不低于48KHz 。音频码流率128Kbps (恒定)。应是双声道，必须做混音处理。</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32</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bidi="ar"/>
              </w:rPr>
            </w:pPr>
            <w:r>
              <w:rPr>
                <w:rStyle w:val="59"/>
                <w:rFonts w:hint="default"/>
                <w:b/>
                <w:bCs/>
                <w:lang w:bidi="ar"/>
              </w:rPr>
              <w:t>视频压缩：</w:t>
            </w:r>
            <w:r>
              <w:rPr>
                <w:rStyle w:val="59"/>
                <w:rFonts w:hint="default"/>
                <w:b w:val="0"/>
                <w:bCs w:val="0"/>
                <w:lang w:bidi="ar"/>
              </w:rPr>
              <w:t>采用H.264/AVC (MPEG-4 Part10)编码、使用二次编码、不包含字幕的MP4格式。</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33</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bidi="ar"/>
              </w:rPr>
            </w:pPr>
            <w:r>
              <w:rPr>
                <w:rStyle w:val="59"/>
                <w:rFonts w:hint="default"/>
                <w:b/>
                <w:bCs/>
                <w:lang w:bidi="ar"/>
              </w:rPr>
              <w:t>动画</w:t>
            </w:r>
            <w:r>
              <w:rPr>
                <w:rStyle w:val="59"/>
                <w:rFonts w:hint="eastAsia" w:eastAsia="宋体"/>
                <w:b/>
                <w:bCs/>
                <w:lang w:eastAsia="zh-CN" w:bidi="ar"/>
              </w:rPr>
              <w:t>：</w:t>
            </w:r>
            <w:r>
              <w:rPr>
                <w:rStyle w:val="59"/>
                <w:rFonts w:hint="default"/>
                <w:b w:val="0"/>
                <w:bCs w:val="0"/>
                <w:lang w:bidi="ar"/>
              </w:rPr>
              <w:t>动画内容完全契合教师讲稿内容和知识点，不得采用套用等方式,且不能改变讲稿和知识结构。动画中的文字应醒目，文字的字体、字号应与动画的正题风格相符，字体颜色需避免与背景色相近。动画如进行配音、解说，配音要求普通话标准，音量适当，快慢适度。</w:t>
            </w:r>
          </w:p>
          <w:p>
            <w:pPr>
              <w:widowControl/>
              <w:jc w:val="left"/>
              <w:textAlignment w:val="center"/>
              <w:rPr>
                <w:rStyle w:val="59"/>
                <w:rFonts w:hint="default"/>
                <w:b w:val="0"/>
                <w:bCs w:val="0"/>
                <w:lang w:bidi="ar"/>
              </w:rPr>
            </w:pPr>
            <w:r>
              <w:rPr>
                <w:rStyle w:val="59"/>
                <w:rFonts w:hint="default"/>
                <w:b/>
                <w:bCs/>
                <w:lang w:bidi="ar"/>
              </w:rPr>
              <w:t>色彩：</w:t>
            </w:r>
            <w:r>
              <w:rPr>
                <w:rStyle w:val="59"/>
                <w:rFonts w:hint="default"/>
                <w:b w:val="0"/>
                <w:bCs w:val="0"/>
                <w:lang w:bidi="ar"/>
              </w:rPr>
              <w:t>动画色彩造型应和谐，画面简洁清晰。</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34</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bidi="ar"/>
              </w:rPr>
            </w:pPr>
            <w:r>
              <w:rPr>
                <w:rStyle w:val="59"/>
                <w:rFonts w:hint="default"/>
                <w:b w:val="0"/>
                <w:bCs w:val="0"/>
                <w:lang w:bidi="ar"/>
              </w:rPr>
              <w:t>字体：字要醒目，文字的字体、字号与内容协调，字体颜色避免与背景色相近。</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35</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bidi="ar"/>
              </w:rPr>
            </w:pPr>
            <w:r>
              <w:rPr>
                <w:rStyle w:val="59"/>
                <w:rFonts w:hint="default"/>
                <w:b w:val="0"/>
                <w:bCs w:val="0"/>
                <w:lang w:bidi="ar"/>
              </w:rPr>
              <w:t>创意性：动画要求按照脚本的内容进行创意，符合教学需求，简单明了。（需要符合教学传播的严谨）</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36</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bidi="ar"/>
              </w:rPr>
            </w:pPr>
            <w:r>
              <w:rPr>
                <w:rStyle w:val="59"/>
                <w:rFonts w:hint="default"/>
                <w:b w:val="0"/>
                <w:bCs w:val="0"/>
                <w:lang w:bidi="ar"/>
              </w:rPr>
              <w:t>连续性：动画需要有连续性，节奏合适，帧和帧之间的关联性要强。</w:t>
            </w:r>
          </w:p>
        </w:tc>
      </w:tr>
      <w:tr>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37</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bidi="ar"/>
              </w:rPr>
            </w:pPr>
            <w:r>
              <w:rPr>
                <w:rStyle w:val="59"/>
                <w:rFonts w:hint="default"/>
                <w:b w:val="0"/>
                <w:bCs w:val="0"/>
                <w:lang w:bidi="ar"/>
              </w:rPr>
              <w:t>切换：分镜与分镜之前请做出相应的镜头切换特效。</w:t>
            </w:r>
          </w:p>
          <w:p>
            <w:pPr>
              <w:widowControl/>
              <w:jc w:val="left"/>
              <w:textAlignment w:val="center"/>
              <w:rPr>
                <w:rStyle w:val="59"/>
                <w:rFonts w:hint="eastAsia"/>
                <w:b w:val="0"/>
                <w:bCs w:val="0"/>
                <w:lang w:bidi="ar"/>
              </w:rPr>
            </w:pPr>
            <w:r>
              <w:rPr>
                <w:rStyle w:val="59"/>
                <w:rFonts w:hint="eastAsia"/>
                <w:b w:val="0"/>
                <w:bCs w:val="0"/>
                <w:lang w:bidi="ar"/>
              </w:rPr>
              <w:t>帧频：FLASH动画帧频为不低于25帧。</w:t>
            </w:r>
          </w:p>
          <w:p>
            <w:pPr>
              <w:widowControl/>
              <w:jc w:val="left"/>
              <w:textAlignment w:val="center"/>
              <w:rPr>
                <w:rStyle w:val="59"/>
                <w:rFonts w:hint="eastAsia"/>
                <w:b w:val="0"/>
                <w:bCs w:val="0"/>
                <w:lang w:bidi="ar"/>
              </w:rPr>
            </w:pPr>
            <w:r>
              <w:rPr>
                <w:rStyle w:val="59"/>
                <w:rFonts w:hint="eastAsia"/>
                <w:b/>
                <w:bCs/>
                <w:lang w:bidi="ar"/>
              </w:rPr>
              <w:t>模板：</w:t>
            </w:r>
            <w:r>
              <w:rPr>
                <w:rStyle w:val="59"/>
                <w:rFonts w:hint="eastAsia"/>
                <w:b w:val="0"/>
                <w:bCs w:val="0"/>
                <w:lang w:bidi="ar"/>
              </w:rPr>
              <w:t>动画统一设定模板、颜色。</w:t>
            </w:r>
          </w:p>
          <w:p>
            <w:pPr>
              <w:widowControl/>
              <w:jc w:val="left"/>
              <w:textAlignment w:val="center"/>
              <w:rPr>
                <w:rStyle w:val="59"/>
                <w:rFonts w:hint="default"/>
                <w:b w:val="0"/>
                <w:bCs w:val="0"/>
                <w:lang w:bidi="ar"/>
              </w:rPr>
            </w:pPr>
            <w:r>
              <w:rPr>
                <w:rStyle w:val="59"/>
                <w:rFonts w:hint="eastAsia"/>
                <w:b/>
                <w:bCs/>
                <w:lang w:bidi="ar"/>
              </w:rPr>
              <w:t>同步：</w:t>
            </w:r>
            <w:r>
              <w:rPr>
                <w:rStyle w:val="59"/>
                <w:rFonts w:hint="eastAsia"/>
                <w:b w:val="0"/>
                <w:bCs w:val="0"/>
                <w:lang w:bidi="ar"/>
              </w:rPr>
              <w:t>声音与画面要求同步。</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38</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bidi="ar"/>
              </w:rPr>
            </w:pPr>
            <w:r>
              <w:rPr>
                <w:rStyle w:val="59"/>
                <w:rFonts w:hint="default"/>
                <w:b w:val="0"/>
                <w:bCs w:val="0"/>
                <w:lang w:bidi="ar"/>
              </w:rPr>
              <w:t>图像：原则上以矢量为主，避免大图片的大幅度移动。矢量图或格式为jpg或png的位图，按实际大小应用，输出单个jpg文件不得大于32Kb。</w:t>
            </w:r>
          </w:p>
        </w:tc>
      </w:tr>
      <w:tr>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39</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bidi="ar"/>
              </w:rPr>
            </w:pPr>
            <w:r>
              <w:rPr>
                <w:rStyle w:val="59"/>
                <w:rFonts w:hint="default"/>
                <w:b w:val="0"/>
                <w:bCs w:val="0"/>
                <w:lang w:bidi="ar"/>
              </w:rPr>
              <w:t>音频：立体声，无噪音，声音悦耳，音量适当，快慢适度，频率为44100Hz，码流率不超过64 kpbs，格式为mp3，输出单个mp3文件嵌入形式不得大于0.2MB，通过媒体服务器的大小不受限制。</w:t>
            </w:r>
          </w:p>
          <w:p>
            <w:pPr>
              <w:widowControl/>
              <w:jc w:val="left"/>
              <w:textAlignment w:val="center"/>
              <w:rPr>
                <w:rStyle w:val="59"/>
                <w:rFonts w:hint="default"/>
                <w:b w:val="0"/>
                <w:bCs w:val="0"/>
                <w:lang w:bidi="ar"/>
              </w:rPr>
            </w:pPr>
            <w:r>
              <w:rPr>
                <w:rStyle w:val="59"/>
                <w:rFonts w:hint="default"/>
                <w:b w:val="0"/>
                <w:bCs w:val="0"/>
                <w:lang w:bidi="ar"/>
              </w:rPr>
              <w:t>背景音频：背景音乐音量不宜过大，音乐与内容相符。</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40</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bidi="ar"/>
              </w:rPr>
            </w:pPr>
            <w:r>
              <w:rPr>
                <w:rStyle w:val="59"/>
                <w:rFonts w:hint="default"/>
                <w:b w:val="0"/>
                <w:bCs w:val="0"/>
                <w:lang w:bidi="ar"/>
              </w:rPr>
              <w:t>特效包装应用软件：After Effects、Photoshop，3DMax，Maya等。</w:t>
            </w:r>
          </w:p>
          <w:p>
            <w:pPr>
              <w:widowControl/>
              <w:jc w:val="left"/>
              <w:textAlignment w:val="center"/>
              <w:rPr>
                <w:rStyle w:val="59"/>
                <w:rFonts w:hint="eastAsia"/>
                <w:b w:val="0"/>
                <w:bCs w:val="0"/>
                <w:lang w:bidi="ar"/>
              </w:rPr>
            </w:pPr>
            <w:r>
              <w:rPr>
                <w:rStyle w:val="59"/>
                <w:rFonts w:hint="eastAsia"/>
                <w:b w:val="0"/>
                <w:bCs w:val="0"/>
                <w:lang w:bidi="ar"/>
              </w:rPr>
              <w:t>FLASH导出版本为8.0以上，格式为swf格式。</w:t>
            </w:r>
          </w:p>
          <w:p>
            <w:pPr>
              <w:widowControl/>
              <w:jc w:val="left"/>
              <w:textAlignment w:val="center"/>
              <w:rPr>
                <w:rStyle w:val="59"/>
                <w:rFonts w:hint="default"/>
                <w:b w:val="0"/>
                <w:bCs w:val="0"/>
                <w:lang w:bidi="ar"/>
              </w:rPr>
            </w:pPr>
            <w:r>
              <w:rPr>
                <w:rStyle w:val="59"/>
                <w:rFonts w:hint="eastAsia"/>
                <w:b w:val="0"/>
                <w:bCs w:val="0"/>
                <w:lang w:bidi="ar"/>
              </w:rPr>
              <w:t>保持每个动画素材的独立性，尽量不设置两个或多个动画文件之间的嵌套及链接关系。所有动画数据都需要制作成SWF格式。要求提交给课程负责人动画源文件、导出文件。</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41</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bidi="ar"/>
              </w:rPr>
            </w:pPr>
            <w:r>
              <w:rPr>
                <w:rStyle w:val="59"/>
                <w:rFonts w:hint="default"/>
                <w:b/>
                <w:bCs/>
                <w:lang w:bidi="ar"/>
              </w:rPr>
              <w:t>字幕</w:t>
            </w:r>
            <w:r>
              <w:rPr>
                <w:rStyle w:val="59"/>
                <w:rFonts w:hint="eastAsia" w:eastAsia="宋体"/>
                <w:b/>
                <w:bCs/>
                <w:lang w:eastAsia="zh-CN" w:bidi="ar"/>
              </w:rPr>
              <w:t>：</w:t>
            </w:r>
            <w:r>
              <w:rPr>
                <w:rStyle w:val="59"/>
                <w:rFonts w:hint="default"/>
                <w:b w:val="0"/>
                <w:bCs w:val="0"/>
                <w:lang w:bidi="ar"/>
              </w:rPr>
              <w:t>文字种类：中文字幕。</w:t>
            </w:r>
          </w:p>
          <w:p>
            <w:pPr>
              <w:widowControl/>
              <w:jc w:val="left"/>
              <w:textAlignment w:val="center"/>
              <w:rPr>
                <w:rStyle w:val="59"/>
                <w:rFonts w:hint="eastAsia"/>
                <w:b w:val="0"/>
                <w:bCs w:val="0"/>
                <w:lang w:bidi="ar"/>
              </w:rPr>
            </w:pPr>
            <w:r>
              <w:rPr>
                <w:rStyle w:val="59"/>
                <w:rFonts w:hint="eastAsia"/>
                <w:b/>
                <w:bCs/>
                <w:lang w:bidi="ar"/>
              </w:rPr>
              <w:t>字幕占比：</w:t>
            </w:r>
            <w:r>
              <w:rPr>
                <w:rStyle w:val="59"/>
                <w:rFonts w:hint="eastAsia"/>
                <w:b w:val="0"/>
                <w:bCs w:val="0"/>
                <w:lang w:bidi="ar"/>
              </w:rPr>
              <w:t>需考虑字幕与图像占比，字幕不能明细遮挡教学知识点。</w:t>
            </w:r>
          </w:p>
          <w:p>
            <w:pPr>
              <w:widowControl/>
              <w:jc w:val="left"/>
              <w:textAlignment w:val="center"/>
              <w:rPr>
                <w:rStyle w:val="59"/>
                <w:rFonts w:hint="eastAsia"/>
                <w:b w:val="0"/>
                <w:bCs w:val="0"/>
                <w:lang w:bidi="ar"/>
              </w:rPr>
            </w:pPr>
            <w:r>
              <w:rPr>
                <w:rStyle w:val="59"/>
                <w:rFonts w:hint="eastAsia"/>
                <w:b/>
                <w:bCs/>
                <w:lang w:bidi="ar"/>
              </w:rPr>
              <w:t>字幕设计：</w:t>
            </w:r>
            <w:r>
              <w:rPr>
                <w:rStyle w:val="59"/>
                <w:rFonts w:hint="eastAsia"/>
                <w:b w:val="0"/>
                <w:bCs w:val="0"/>
                <w:lang w:bidi="ar"/>
              </w:rPr>
              <w:t>不宜用文本文字呈现的且在视频画面中已经通过PPT、板书等方式显示清楚的，可以不加该行字幕。</w:t>
            </w:r>
          </w:p>
          <w:p>
            <w:pPr>
              <w:widowControl/>
              <w:jc w:val="left"/>
              <w:textAlignment w:val="center"/>
              <w:rPr>
                <w:rStyle w:val="59"/>
                <w:rFonts w:hint="eastAsia"/>
                <w:b w:val="0"/>
                <w:bCs w:val="0"/>
                <w:lang w:bidi="ar"/>
              </w:rPr>
            </w:pPr>
            <w:r>
              <w:rPr>
                <w:rStyle w:val="59"/>
                <w:rFonts w:hint="eastAsia"/>
                <w:b/>
                <w:bCs/>
                <w:lang w:bidi="ar"/>
              </w:rPr>
              <w:t>字幕文件格式：</w:t>
            </w:r>
            <w:r>
              <w:rPr>
                <w:rStyle w:val="59"/>
                <w:rFonts w:hint="eastAsia"/>
                <w:b w:val="0"/>
                <w:bCs w:val="0"/>
                <w:lang w:bidi="ar"/>
              </w:rPr>
              <w:t>独立的SRT格式的字幕文件。</w:t>
            </w:r>
          </w:p>
          <w:p>
            <w:pPr>
              <w:widowControl/>
              <w:jc w:val="left"/>
              <w:textAlignment w:val="center"/>
              <w:rPr>
                <w:rStyle w:val="59"/>
                <w:rFonts w:hint="eastAsia"/>
                <w:b w:val="0"/>
                <w:bCs w:val="0"/>
                <w:lang w:bidi="ar"/>
              </w:rPr>
            </w:pPr>
            <w:r>
              <w:rPr>
                <w:rStyle w:val="59"/>
                <w:rFonts w:hint="eastAsia"/>
                <w:b/>
                <w:bCs/>
                <w:lang w:bidi="ar"/>
              </w:rPr>
              <w:t>字幕的断句：</w:t>
            </w:r>
            <w:r>
              <w:rPr>
                <w:rStyle w:val="59"/>
                <w:rFonts w:hint="eastAsia"/>
                <w:b w:val="0"/>
                <w:bCs w:val="0"/>
                <w:lang w:bidi="ar"/>
              </w:rPr>
              <w:t>不简单按照字数断句，以内容为断句依据。</w:t>
            </w:r>
          </w:p>
          <w:p>
            <w:pPr>
              <w:widowControl/>
              <w:jc w:val="left"/>
              <w:textAlignment w:val="center"/>
              <w:rPr>
                <w:rStyle w:val="59"/>
                <w:rFonts w:hint="default"/>
                <w:b w:val="0"/>
                <w:bCs w:val="0"/>
                <w:lang w:bidi="ar"/>
              </w:rPr>
            </w:pPr>
            <w:bookmarkStart w:id="0" w:name="_GoBack"/>
            <w:r>
              <w:rPr>
                <w:rStyle w:val="59"/>
                <w:rFonts w:hint="eastAsia"/>
                <w:b/>
                <w:bCs/>
                <w:lang w:bidi="ar"/>
              </w:rPr>
              <w:t>图形图像</w:t>
            </w:r>
            <w:r>
              <w:rPr>
                <w:rStyle w:val="59"/>
                <w:rFonts w:hint="eastAsia" w:eastAsia="宋体"/>
                <w:b/>
                <w:bCs/>
                <w:lang w:eastAsia="zh-CN" w:bidi="ar"/>
              </w:rPr>
              <w:t>：</w:t>
            </w:r>
            <w:bookmarkEnd w:id="0"/>
            <w:r>
              <w:rPr>
                <w:rStyle w:val="59"/>
                <w:rFonts w:hint="eastAsia"/>
                <w:b w:val="0"/>
                <w:bCs w:val="0"/>
                <w:lang w:bidi="ar"/>
              </w:rPr>
              <w:t>图形图像应采用主流通用格式，包括：JPG（图形图像压缩格式文件）、PNG（可移植网络图形格式）、GIF（图像互换格式文件）、DWG（AutoCAD图形文件）、WMF（图元文件）等。</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42</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bidi="ar"/>
              </w:rPr>
            </w:pPr>
            <w:r>
              <w:rPr>
                <w:rStyle w:val="59"/>
                <w:rFonts w:hint="default"/>
                <w:b w:val="0"/>
                <w:bCs w:val="0"/>
                <w:lang w:bidi="ar"/>
              </w:rPr>
              <w:t>扫描图像的扫描分辨率不低于150dpi，彩色扫描图像的扫描分辨率不低于300dpi。</w:t>
            </w:r>
          </w:p>
          <w:p>
            <w:pPr>
              <w:widowControl/>
              <w:jc w:val="left"/>
              <w:textAlignment w:val="center"/>
              <w:rPr>
                <w:rStyle w:val="59"/>
                <w:rFonts w:hint="default"/>
                <w:b w:val="0"/>
                <w:bCs w:val="0"/>
                <w:lang w:bidi="ar"/>
              </w:rPr>
            </w:pPr>
            <w:r>
              <w:rPr>
                <w:rStyle w:val="59"/>
                <w:rFonts w:hint="default"/>
                <w:b w:val="0"/>
                <w:bCs w:val="0"/>
                <w:lang w:bidi="ar"/>
              </w:rPr>
              <w:t>图像内容应清晰可辨识，无水印，内容完整，不需要借助额外的设备即可辨认图形图像资源所需要表达的主体内容。</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43</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val="en-US" w:eastAsia="zh-CN" w:bidi="ar"/>
              </w:rPr>
            </w:pPr>
            <w:r>
              <w:rPr>
                <w:rStyle w:val="59"/>
                <w:rFonts w:hint="default"/>
                <w:b w:val="0"/>
                <w:bCs w:val="0"/>
                <w:lang w:bidi="ar"/>
              </w:rPr>
              <w:t>补拍；后期编辑制作需按照校方要求进行，并积极补充拍摄镜头，确保制作效果。</w:t>
            </w:r>
          </w:p>
        </w:tc>
      </w:tr>
      <w:tr>
        <w:tblPrEx>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44</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9"/>
                <w:rFonts w:hint="default"/>
                <w:b w:val="0"/>
                <w:bCs w:val="0"/>
                <w:lang w:bidi="ar"/>
              </w:rPr>
            </w:pPr>
            <w:r>
              <w:rPr>
                <w:rStyle w:val="59"/>
                <w:rFonts w:hint="default"/>
                <w:b w:val="0"/>
                <w:bCs w:val="0"/>
                <w:lang w:bidi="ar"/>
              </w:rPr>
              <w:t>成片存储要求；供应商以硬盘形式提交给采购人。</w:t>
            </w:r>
          </w:p>
          <w:p>
            <w:pPr>
              <w:widowControl/>
              <w:jc w:val="left"/>
              <w:textAlignment w:val="center"/>
              <w:rPr>
                <w:rStyle w:val="59"/>
                <w:rFonts w:hint="default"/>
                <w:b w:val="0"/>
                <w:bCs w:val="0"/>
                <w:lang w:bidi="ar"/>
              </w:rPr>
            </w:pPr>
            <w:r>
              <w:rPr>
                <w:rStyle w:val="59"/>
                <w:rFonts w:hint="default"/>
                <w:b w:val="0"/>
                <w:bCs w:val="0"/>
                <w:lang w:bidi="ar"/>
              </w:rPr>
              <w:t>制作完成后，提供两个版本的视频文件。存档版要求：Premiere/After Effects格式，总比特率≥1024kbps、帧频≥25fps、分辨率≥1920×1080。</w:t>
            </w:r>
          </w:p>
          <w:p>
            <w:pPr>
              <w:widowControl/>
              <w:jc w:val="left"/>
              <w:textAlignment w:val="center"/>
              <w:rPr>
                <w:rStyle w:val="59"/>
                <w:rFonts w:hint="default"/>
                <w:b w:val="0"/>
                <w:bCs w:val="0"/>
                <w:lang w:val="en-US" w:eastAsia="zh-CN" w:bidi="ar"/>
              </w:rPr>
            </w:pPr>
            <w:r>
              <w:rPr>
                <w:rStyle w:val="59"/>
                <w:rFonts w:hint="default"/>
                <w:b w:val="0"/>
                <w:bCs w:val="0"/>
                <w:lang w:bidi="ar"/>
              </w:rPr>
              <w:t>网络版要求：使用mp4格式；总比特率≥512kbps、帧频≥25fps、分辨率≥1920×1080。</w:t>
            </w:r>
          </w:p>
        </w:tc>
      </w:tr>
      <w:tr>
        <w:tblPrEx>
          <w:tblCellMar>
            <w:top w:w="0" w:type="dxa"/>
            <w:left w:w="108" w:type="dxa"/>
            <w:bottom w:w="0" w:type="dxa"/>
            <w:right w:w="108" w:type="dxa"/>
          </w:tblCellMar>
        </w:tblPrEx>
        <w:trPr>
          <w:trHeight w:val="6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2"/>
                <w:sz w:val="24"/>
                <w:szCs w:val="24"/>
                <w:highlight w:val="yellow"/>
                <w:lang w:val="en-US" w:eastAsia="zh-CN" w:bidi="ar-SA"/>
              </w:rPr>
            </w:pPr>
            <w:r>
              <w:rPr>
                <w:rFonts w:hint="eastAsia" w:ascii="宋体" w:hAnsi="宋体" w:eastAsia="宋体" w:cs="宋体"/>
                <w:color w:val="000000"/>
                <w:kern w:val="2"/>
                <w:sz w:val="24"/>
                <w:szCs w:val="24"/>
                <w:highlight w:val="yellow"/>
                <w:lang w:val="en-US" w:eastAsia="zh-CN" w:bidi="ar-SA"/>
              </w:rPr>
              <w:t>45</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left"/>
              <w:rPr>
                <w:rStyle w:val="59"/>
                <w:rFonts w:hint="default" w:ascii="宋体" w:hAnsi="宋体" w:eastAsia="宋体" w:cs="宋体"/>
                <w:kern w:val="2"/>
                <w:highlight w:val="yellow"/>
                <w:lang w:val="en-US" w:eastAsia="zh-CN" w:bidi="ar"/>
              </w:rPr>
            </w:pPr>
            <w:r>
              <w:rPr>
                <w:rStyle w:val="59"/>
                <w:rFonts w:hint="eastAsia" w:ascii="宋体" w:hAnsi="宋体" w:eastAsia="宋体" w:cs="宋体"/>
                <w:b/>
                <w:bCs/>
                <w:kern w:val="2"/>
                <w:highlight w:val="yellow"/>
                <w:lang w:val="en-US" w:eastAsia="zh-CN" w:bidi="ar"/>
              </w:rPr>
              <w:t>教学设计服务：</w:t>
            </w:r>
            <w:r>
              <w:rPr>
                <w:rStyle w:val="59"/>
                <w:rFonts w:hint="eastAsia" w:ascii="宋体" w:hAnsi="宋体" w:eastAsia="宋体" w:cs="宋体"/>
                <w:kern w:val="2"/>
                <w:highlight w:val="yellow"/>
                <w:lang w:val="en-US" w:eastAsia="zh-CN" w:bidi="ar"/>
              </w:rPr>
              <w:t>协助梳理说课、微课知识讲稿，对标课程思政的整体要求，给出合理性修改建议。需要反复协助梳理直至符合思政课程整体要求。</w:t>
            </w:r>
          </w:p>
          <w:p>
            <w:pPr>
              <w:pStyle w:val="3"/>
              <w:rPr>
                <w:rFonts w:hint="default"/>
                <w:highlight w:val="yellow"/>
                <w:lang w:val="en-US" w:eastAsia="zh-CN"/>
              </w:rPr>
            </w:pPr>
          </w:p>
          <w:p>
            <w:pPr>
              <w:widowControl/>
              <w:jc w:val="left"/>
              <w:textAlignment w:val="center"/>
              <w:rPr>
                <w:rStyle w:val="59"/>
                <w:rFonts w:hint="eastAsia" w:ascii="宋体" w:hAnsi="宋体" w:eastAsia="宋体" w:cs="宋体"/>
                <w:highlight w:val="yellow"/>
                <w:lang w:val="en-US" w:eastAsia="zh-CN" w:bidi="ar"/>
              </w:rPr>
            </w:pPr>
            <w:r>
              <w:rPr>
                <w:rStyle w:val="59"/>
                <w:rFonts w:hint="eastAsia" w:ascii="宋体" w:hAnsi="宋体" w:eastAsia="宋体" w:cs="宋体"/>
                <w:b/>
                <w:bCs/>
                <w:highlight w:val="yellow"/>
                <w:lang w:val="en-US" w:eastAsia="zh-CN" w:bidi="ar"/>
              </w:rPr>
              <w:t>教学服务：</w:t>
            </w:r>
            <w:r>
              <w:rPr>
                <w:rStyle w:val="59"/>
                <w:rFonts w:hint="eastAsia" w:ascii="宋体" w:hAnsi="宋体" w:eastAsia="宋体" w:cs="宋体"/>
                <w:highlight w:val="yellow"/>
                <w:lang w:val="en-US" w:eastAsia="zh-CN" w:bidi="ar"/>
              </w:rPr>
              <w:t>解答老师运用于实际教学的相关疑问，服务教学管理部门及课程建设的全体教师，例如:学时占比建议、成绩结构建议、课程教学平台的后台操作、教学内容发布合理性等、相应的开课设置、内容发布设置、讨论区主题发布设置、公告区公告发布设置等信息化工具操作问题。</w:t>
            </w:r>
          </w:p>
          <w:p>
            <w:pPr>
              <w:widowControl/>
              <w:jc w:val="left"/>
              <w:textAlignment w:val="center"/>
              <w:rPr>
                <w:rStyle w:val="59"/>
                <w:rFonts w:hint="eastAsia" w:ascii="宋体" w:hAnsi="宋体" w:eastAsia="宋体" w:cs="宋体"/>
                <w:highlight w:val="yellow"/>
                <w:lang w:val="en-US" w:eastAsia="zh-CN" w:bidi="ar"/>
              </w:rPr>
            </w:pPr>
          </w:p>
          <w:p>
            <w:pPr>
              <w:widowControl/>
              <w:jc w:val="left"/>
              <w:textAlignment w:val="center"/>
              <w:rPr>
                <w:rFonts w:hint="eastAsia" w:asciiTheme="minorHAnsi" w:hAnsiTheme="minorHAnsi" w:eastAsiaTheme="minorEastAsia" w:cstheme="minorBidi"/>
                <w:kern w:val="2"/>
                <w:sz w:val="21"/>
                <w:szCs w:val="22"/>
                <w:highlight w:val="yellow"/>
                <w:lang w:val="en-US" w:eastAsia="zh-CN" w:bidi="ar-SA"/>
              </w:rPr>
            </w:pPr>
            <w:r>
              <w:rPr>
                <w:rStyle w:val="59"/>
                <w:rFonts w:hint="eastAsia" w:ascii="宋体" w:hAnsi="宋体" w:eastAsia="宋体" w:cs="宋体"/>
                <w:b/>
                <w:bCs/>
                <w:highlight w:val="yellow"/>
                <w:lang w:val="en-US" w:eastAsia="zh-CN" w:bidi="ar"/>
              </w:rPr>
              <w:t>专题讲座：</w:t>
            </w:r>
            <w:r>
              <w:rPr>
                <w:rStyle w:val="59"/>
                <w:rFonts w:hint="eastAsia" w:ascii="宋体" w:hAnsi="宋体" w:eastAsia="宋体" w:cs="宋体"/>
                <w:highlight w:val="yellow"/>
                <w:lang w:val="en-US" w:eastAsia="zh-CN" w:bidi="ar"/>
              </w:rPr>
              <w:t>举办线上教学运营专题讲座，举办至少一场线上教学运营专题讲座，会议参会群体主要为本校教学管理与服务部门、专业教学团队及专兼教师。会议主讲嘉宾应为教育学专家、教学改革成果丰硕的高校或行业内专家。会议时间、地点由校方指定，同时在合作期间，行业内有相关的线上教学论坛会，供应商有义务协助组织老师参会。</w:t>
            </w:r>
          </w:p>
        </w:tc>
      </w:tr>
      <w:tr>
        <w:tblPrEx>
          <w:tblCellMar>
            <w:top w:w="0" w:type="dxa"/>
            <w:left w:w="108" w:type="dxa"/>
            <w:bottom w:w="0" w:type="dxa"/>
            <w:right w:w="108" w:type="dxa"/>
          </w:tblCellMar>
        </w:tblPrEx>
        <w:trPr>
          <w:trHeight w:val="6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版权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2"/>
                <w:sz w:val="24"/>
                <w:szCs w:val="24"/>
                <w:highlight w:val="yellow"/>
                <w:lang w:val="en-US" w:eastAsia="zh-CN" w:bidi="ar-SA"/>
              </w:rPr>
            </w:pPr>
            <w:r>
              <w:rPr>
                <w:rFonts w:hint="eastAsia" w:ascii="宋体" w:hAnsi="宋体" w:eastAsia="宋体" w:cs="宋体"/>
                <w:color w:val="000000"/>
                <w:kern w:val="2"/>
                <w:sz w:val="24"/>
                <w:szCs w:val="24"/>
                <w:highlight w:val="yellow"/>
                <w:lang w:val="en-US" w:eastAsia="zh-CN" w:bidi="ar-SA"/>
              </w:rPr>
              <w:t>46</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000000"/>
                <w:kern w:val="2"/>
                <w:sz w:val="24"/>
                <w:szCs w:val="24"/>
                <w:highlight w:val="yellow"/>
                <w:u w:val="none"/>
                <w:lang w:val="en-US" w:eastAsia="zh-CN" w:bidi="ar"/>
              </w:rPr>
            </w:pPr>
            <w:r>
              <w:rPr>
                <w:rStyle w:val="58"/>
                <w:rFonts w:hint="eastAsia" w:ascii="宋体" w:hAnsi="宋体" w:cs="宋体"/>
                <w:color w:val="auto"/>
                <w:sz w:val="24"/>
                <w:szCs w:val="24"/>
                <w:highlight w:val="yellow"/>
                <w:lang w:val="en-US" w:eastAsia="zh-CN" w:bidi="ar"/>
              </w:rPr>
              <w:t>供应商因课程建设提供的学术视频、动画、片头片尾、图片、音频、图书论文等素材，应具有相应的知识产权，且其版权归属学校所有；与课程相关的素材与资源应适合网络公开传播，不含涉密内容；严禁泄漏学校教师提供的相关教学资源与视频素材。</w:t>
            </w:r>
          </w:p>
        </w:tc>
      </w:tr>
      <w:tr>
        <w:tblPrEx>
          <w:tblCellMar>
            <w:top w:w="0" w:type="dxa"/>
            <w:left w:w="108" w:type="dxa"/>
            <w:bottom w:w="0" w:type="dxa"/>
            <w:right w:w="108" w:type="dxa"/>
          </w:tblCellMar>
        </w:tblPrEx>
        <w:trPr>
          <w:trHeight w:val="620" w:hRule="atLeast"/>
        </w:trPr>
        <w:tc>
          <w:tcPr>
            <w:tcW w:w="84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备注：以上打▲号的参数为重要参数，▲不符合或未提供要求的相关证明材料将扣相应分。</w:t>
            </w:r>
          </w:p>
        </w:tc>
      </w:tr>
    </w:tbl>
    <w:p/>
    <w:p>
      <w:pPr>
        <w:rPr>
          <w:color w:val="FF0000"/>
          <w:sz w:val="24"/>
        </w:rPr>
      </w:pPr>
      <w:r>
        <w:rPr>
          <w:rFonts w:hint="eastAsia"/>
          <w:color w:val="FF0000"/>
          <w:sz w:val="24"/>
        </w:rPr>
        <w:br w:type="page"/>
      </w:r>
    </w:p>
    <w:p/>
    <w:p>
      <w:pPr>
        <w:widowControl/>
        <w:shd w:val="clear" w:color="auto" w:fill="FFFFFF"/>
        <w:spacing w:line="480" w:lineRule="auto"/>
        <w:ind w:firstLine="360" w:firstLineChars="150"/>
        <w:rPr>
          <w:rFonts w:ascii="宋体" w:hAnsi="宋体" w:eastAsia="宋体" w:cs="宋体"/>
          <w:color w:val="FF0000"/>
          <w:kern w:val="0"/>
          <w:sz w:val="24"/>
          <w:szCs w:val="24"/>
        </w:rPr>
      </w:pPr>
      <w:r>
        <w:rPr>
          <w:rFonts w:hint="eastAsia" w:ascii="宋体" w:hAnsi="宋体" w:eastAsia="宋体" w:cs="宋体"/>
          <w:color w:val="FF0000"/>
          <w:kern w:val="0"/>
          <w:sz w:val="24"/>
          <w:szCs w:val="24"/>
        </w:rPr>
        <w:t>评审</w:t>
      </w:r>
      <w:r>
        <w:rPr>
          <w:rFonts w:ascii="宋体" w:hAnsi="宋体" w:eastAsia="宋体" w:cs="宋体"/>
          <w:color w:val="FF0000"/>
          <w:kern w:val="0"/>
          <w:sz w:val="24"/>
          <w:szCs w:val="24"/>
        </w:rPr>
        <w:t>条款</w:t>
      </w:r>
      <w:r>
        <w:rPr>
          <w:rFonts w:hint="eastAsia" w:ascii="宋体" w:hAnsi="宋体" w:eastAsia="宋体" w:cs="宋体"/>
          <w:color w:val="FF0000"/>
          <w:kern w:val="0"/>
          <w:sz w:val="24"/>
          <w:szCs w:val="24"/>
        </w:rPr>
        <w:t>：</w:t>
      </w:r>
    </w:p>
    <w:p>
      <w:pPr>
        <w:widowControl/>
        <w:shd w:val="clear" w:color="auto" w:fill="FFFFFF"/>
        <w:spacing w:line="480" w:lineRule="auto"/>
        <w:ind w:firstLine="360" w:firstLineChars="150"/>
        <w:rPr>
          <w:rFonts w:ascii="宋体" w:hAnsi="宋体" w:eastAsia="宋体" w:cs="宋体"/>
          <w:color w:val="333333"/>
          <w:kern w:val="0"/>
          <w:sz w:val="24"/>
          <w:szCs w:val="24"/>
        </w:rPr>
      </w:pP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 xml:space="preserve">综合评分法  </w:t>
      </w:r>
    </w:p>
    <w:tbl>
      <w:tblPr>
        <w:tblStyle w:val="13"/>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182"/>
        <w:gridCol w:w="1129"/>
        <w:gridCol w:w="5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ordWrap w:val="0"/>
              <w:rPr>
                <w:rFonts w:asciiTheme="minorEastAsia" w:hAnsiTheme="minorEastAsia" w:cstheme="minorEastAsia"/>
                <w:b/>
                <w:sz w:val="24"/>
                <w:szCs w:val="24"/>
              </w:rPr>
            </w:pPr>
            <w:r>
              <w:rPr>
                <w:rFonts w:hint="eastAsia" w:asciiTheme="minorEastAsia" w:hAnsiTheme="minorEastAsia" w:cstheme="minorEastAsia"/>
                <w:b/>
                <w:sz w:val="24"/>
                <w:szCs w:val="24"/>
              </w:rPr>
              <w:t>序号</w:t>
            </w:r>
          </w:p>
        </w:tc>
        <w:tc>
          <w:tcPr>
            <w:tcW w:w="1182"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28"/>
              <w:jc w:val="center"/>
              <w:rPr>
                <w:rFonts w:asciiTheme="minorEastAsia" w:hAnsiTheme="minorEastAsia" w:cstheme="minorEastAsia"/>
                <w:b/>
                <w:sz w:val="24"/>
                <w:szCs w:val="24"/>
              </w:rPr>
            </w:pPr>
            <w:r>
              <w:rPr>
                <w:rFonts w:hint="eastAsia" w:asciiTheme="minorEastAsia" w:hAnsiTheme="minorEastAsia" w:cstheme="minorEastAsia"/>
                <w:b/>
                <w:sz w:val="24"/>
                <w:szCs w:val="24"/>
              </w:rPr>
              <w:t>评分因素</w:t>
            </w:r>
          </w:p>
        </w:tc>
        <w:tc>
          <w:tcPr>
            <w:tcW w:w="1129"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分值</w:t>
            </w:r>
          </w:p>
        </w:tc>
        <w:tc>
          <w:tcPr>
            <w:tcW w:w="5819"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28"/>
              <w:jc w:val="center"/>
              <w:rPr>
                <w:rFonts w:asciiTheme="minorEastAsia" w:hAnsiTheme="minorEastAsia" w:cstheme="minorEastAsia"/>
                <w:b/>
                <w:sz w:val="24"/>
                <w:szCs w:val="24"/>
              </w:rPr>
            </w:pPr>
            <w:r>
              <w:rPr>
                <w:rFonts w:hint="eastAsia" w:asciiTheme="minorEastAsia" w:hAnsiTheme="minorEastAsia" w:cstheme="minorEastAsia"/>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1</w:t>
            </w:r>
          </w:p>
        </w:tc>
        <w:tc>
          <w:tcPr>
            <w:tcW w:w="11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
                <w:color w:val="000000"/>
                <w:sz w:val="24"/>
                <w:szCs w:val="24"/>
              </w:rPr>
            </w:pPr>
            <w:r>
              <w:rPr>
                <w:rFonts w:hint="eastAsia" w:asciiTheme="minorEastAsia" w:hAnsiTheme="minorEastAsia" w:cstheme="minorEastAsia"/>
                <w:b/>
                <w:color w:val="000000"/>
                <w:sz w:val="24"/>
                <w:szCs w:val="24"/>
              </w:rPr>
              <w:t>报价</w:t>
            </w:r>
          </w:p>
        </w:tc>
        <w:tc>
          <w:tcPr>
            <w:tcW w:w="11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
                <w:color w:val="000000"/>
                <w:sz w:val="24"/>
                <w:szCs w:val="24"/>
              </w:rPr>
            </w:pPr>
            <w:r>
              <w:rPr>
                <w:rFonts w:hint="eastAsia" w:asciiTheme="minorEastAsia" w:hAnsiTheme="minorEastAsia" w:cstheme="minorEastAsia"/>
                <w:b/>
                <w:color w:val="000000"/>
                <w:kern w:val="0"/>
                <w:sz w:val="24"/>
                <w:szCs w:val="24"/>
              </w:rPr>
              <w:t>10</w:t>
            </w:r>
          </w:p>
        </w:tc>
        <w:tc>
          <w:tcPr>
            <w:tcW w:w="5819"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Theme="minorEastAsia" w:hAnsiTheme="minorEastAsia" w:cstheme="minorEastAsia"/>
                <w:bCs/>
                <w:color w:val="000000"/>
                <w:sz w:val="24"/>
                <w:szCs w:val="24"/>
              </w:rPr>
            </w:pPr>
            <w:r>
              <w:rPr>
                <w:rFonts w:hint="eastAsia" w:asciiTheme="minorEastAsia" w:hAnsiTheme="minorEastAsia" w:cstheme="minorEastAsia"/>
                <w:kern w:val="0"/>
                <w:sz w:val="24"/>
                <w:szCs w:val="24"/>
              </w:rPr>
              <w:t>满足磋商文件要求且价格最低的报价为评审基准价,其价格分为满分。其他有效供应商的价格分统一按照下列公式计算：报价得分=(评审基准价/报价)×10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2</w:t>
            </w:r>
          </w:p>
        </w:tc>
        <w:tc>
          <w:tcPr>
            <w:tcW w:w="11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
                <w:color w:val="000000"/>
                <w:kern w:val="0"/>
                <w:sz w:val="24"/>
                <w:szCs w:val="24"/>
              </w:rPr>
            </w:pPr>
            <w:r>
              <w:rPr>
                <w:rFonts w:hint="eastAsia" w:asciiTheme="minorEastAsia" w:hAnsiTheme="minorEastAsia" w:cstheme="minorEastAsia"/>
                <w:b/>
                <w:color w:val="000000"/>
                <w:kern w:val="0"/>
                <w:sz w:val="24"/>
                <w:szCs w:val="24"/>
              </w:rPr>
              <w:t>技术指标</w:t>
            </w:r>
          </w:p>
          <w:p>
            <w:pPr>
              <w:wordWrap w:val="0"/>
              <w:spacing w:line="360" w:lineRule="auto"/>
              <w:jc w:val="center"/>
              <w:rPr>
                <w:rFonts w:asciiTheme="minorEastAsia" w:hAnsiTheme="minorEastAsia" w:cstheme="minorEastAsia"/>
                <w:b/>
                <w:sz w:val="24"/>
                <w:szCs w:val="24"/>
              </w:rPr>
            </w:pPr>
            <w:r>
              <w:rPr>
                <w:rFonts w:hint="eastAsia" w:asciiTheme="minorEastAsia" w:hAnsiTheme="minorEastAsia" w:cstheme="minorEastAsia"/>
                <w:b/>
                <w:color w:val="000000"/>
                <w:kern w:val="0"/>
                <w:sz w:val="24"/>
                <w:szCs w:val="24"/>
              </w:rPr>
              <w:t>和配置</w:t>
            </w:r>
          </w:p>
        </w:tc>
        <w:tc>
          <w:tcPr>
            <w:tcW w:w="1129"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hint="default" w:asciiTheme="minorEastAsia" w:hAnsiTheme="minorEastAsia" w:eastAsiaTheme="minorEastAsia" w:cstheme="minorEastAsia"/>
                <w:b/>
                <w:sz w:val="24"/>
                <w:szCs w:val="24"/>
                <w:highlight w:val="yellow"/>
                <w:lang w:val="en-US" w:eastAsia="zh-CN"/>
              </w:rPr>
            </w:pPr>
            <w:r>
              <w:rPr>
                <w:rFonts w:hint="eastAsia" w:asciiTheme="minorEastAsia" w:hAnsiTheme="minorEastAsia" w:cstheme="minorEastAsia"/>
                <w:b/>
                <w:sz w:val="24"/>
                <w:szCs w:val="24"/>
                <w:highlight w:val="yellow"/>
                <w:lang w:val="en-US" w:eastAsia="zh-CN"/>
              </w:rPr>
              <w:t>56.5</w:t>
            </w:r>
          </w:p>
        </w:tc>
        <w:tc>
          <w:tcPr>
            <w:tcW w:w="5819"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cstheme="minorEastAsia"/>
                <w:bCs/>
                <w:sz w:val="24"/>
                <w:szCs w:val="24"/>
                <w:highlight w:val="yellow"/>
              </w:rPr>
            </w:pPr>
            <w:r>
              <w:rPr>
                <w:rFonts w:hint="eastAsia" w:asciiTheme="minorEastAsia" w:hAnsiTheme="minorEastAsia" w:cstheme="minorEastAsia"/>
                <w:sz w:val="24"/>
                <w:szCs w:val="24"/>
                <w:highlight w:val="yellow"/>
              </w:rPr>
              <w:t>根据项目服务内容技术要求进行评审，供应商完全满足采购人需求的得63分。每有一项不满足在63分的基础上按以下原则扣分： 1.对于招标文件中重要参数“▲”项，供应商全部都满足招标文件要求的得</w:t>
            </w:r>
            <w:r>
              <w:rPr>
                <w:rFonts w:hint="eastAsia" w:asciiTheme="minorEastAsia" w:hAnsiTheme="minorEastAsia" w:cstheme="minorEastAsia"/>
                <w:sz w:val="24"/>
                <w:szCs w:val="24"/>
                <w:highlight w:val="yellow"/>
                <w:lang w:val="en-US" w:eastAsia="zh-CN"/>
              </w:rPr>
              <w:t>13.5</w:t>
            </w:r>
            <w:r>
              <w:rPr>
                <w:rFonts w:hint="eastAsia" w:asciiTheme="minorEastAsia" w:hAnsiTheme="minorEastAsia" w:cstheme="minorEastAsia"/>
                <w:sz w:val="24"/>
                <w:szCs w:val="24"/>
                <w:highlight w:val="yellow"/>
              </w:rPr>
              <w:t>分；每有一项不满足扣</w:t>
            </w:r>
            <w:r>
              <w:rPr>
                <w:rFonts w:hint="eastAsia" w:asciiTheme="minorEastAsia" w:hAnsiTheme="minorEastAsia" w:cstheme="minorEastAsia"/>
                <w:sz w:val="24"/>
                <w:szCs w:val="24"/>
                <w:highlight w:val="yellow"/>
                <w:lang w:val="en-US" w:eastAsia="zh-CN"/>
              </w:rPr>
              <w:t>4.5</w:t>
            </w:r>
            <w:r>
              <w:rPr>
                <w:rFonts w:hint="eastAsia" w:asciiTheme="minorEastAsia" w:hAnsiTheme="minorEastAsia" w:cstheme="minorEastAsia"/>
                <w:sz w:val="24"/>
                <w:szCs w:val="24"/>
                <w:highlight w:val="yellow"/>
              </w:rPr>
              <w:t>分；共3条；直至本项分值扣完为止。 2.对于招标文件中非“▲”项参数，供应商全部都满足招标文件要求的得</w:t>
            </w:r>
            <w:r>
              <w:rPr>
                <w:rFonts w:hint="eastAsia" w:asciiTheme="minorEastAsia" w:hAnsiTheme="minorEastAsia" w:cstheme="minorEastAsia"/>
                <w:sz w:val="24"/>
                <w:szCs w:val="24"/>
                <w:highlight w:val="yellow"/>
                <w:lang w:val="en-US" w:eastAsia="zh-CN"/>
              </w:rPr>
              <w:t>43</w:t>
            </w:r>
            <w:r>
              <w:rPr>
                <w:rFonts w:hint="eastAsia" w:asciiTheme="minorEastAsia" w:hAnsiTheme="minorEastAsia" w:cstheme="minorEastAsia"/>
                <w:sz w:val="24"/>
                <w:szCs w:val="24"/>
                <w:highlight w:val="yellow"/>
              </w:rPr>
              <w:t>分；每有一项不满足扣</w:t>
            </w:r>
            <w:r>
              <w:rPr>
                <w:rFonts w:hint="eastAsia" w:asciiTheme="minorEastAsia" w:hAnsiTheme="minorEastAsia" w:cstheme="minorEastAsia"/>
                <w:sz w:val="24"/>
                <w:szCs w:val="24"/>
                <w:highlight w:val="yellow"/>
                <w:lang w:val="en-US" w:eastAsia="zh-CN"/>
              </w:rPr>
              <w:t>1</w:t>
            </w:r>
            <w:r>
              <w:rPr>
                <w:rFonts w:hint="eastAsia" w:asciiTheme="minorEastAsia" w:hAnsiTheme="minorEastAsia" w:cstheme="minorEastAsia"/>
                <w:sz w:val="24"/>
                <w:szCs w:val="24"/>
                <w:highlight w:val="yellow"/>
              </w:rPr>
              <w:t>分；共</w:t>
            </w:r>
            <w:r>
              <w:rPr>
                <w:rFonts w:hint="eastAsia" w:asciiTheme="minorEastAsia" w:hAnsiTheme="minorEastAsia" w:cstheme="minorEastAsia"/>
                <w:sz w:val="24"/>
                <w:szCs w:val="24"/>
                <w:highlight w:val="yellow"/>
                <w:lang w:val="en-US" w:eastAsia="zh-CN"/>
              </w:rPr>
              <w:t>43</w:t>
            </w:r>
            <w:r>
              <w:rPr>
                <w:rFonts w:hint="eastAsia" w:asciiTheme="minorEastAsia" w:hAnsiTheme="minorEastAsia" w:cstheme="minorEastAsia"/>
                <w:sz w:val="24"/>
                <w:szCs w:val="24"/>
                <w:highlight w:val="yellow"/>
              </w:rPr>
              <w:t>条；直至本项分值扣完为止。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3</w:t>
            </w:r>
          </w:p>
        </w:tc>
        <w:tc>
          <w:tcPr>
            <w:tcW w:w="1182"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服务方案</w:t>
            </w:r>
          </w:p>
        </w:tc>
        <w:tc>
          <w:tcPr>
            <w:tcW w:w="1129"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4.5</w:t>
            </w:r>
          </w:p>
        </w:tc>
        <w:tc>
          <w:tcPr>
            <w:tcW w:w="5819"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根据供应商提供的服务方案，服务方案包括但不限于：①</w:t>
            </w:r>
            <w:r>
              <w:rPr>
                <w:rFonts w:hint="eastAsia" w:asciiTheme="minorEastAsia" w:hAnsiTheme="minorEastAsia" w:cstheme="minorEastAsia"/>
                <w:bCs/>
                <w:sz w:val="24"/>
                <w:szCs w:val="24"/>
              </w:rPr>
              <w:t>培训服务（含培训方案附系列过程性管理文件等）②技术服务（前期准备、中期拍摄、后期制作等）③运营及推广服务（课程上线开课、线上教学运行、项目申报）等。</w:t>
            </w:r>
            <w:r>
              <w:rPr>
                <w:rFonts w:hint="eastAsia" w:asciiTheme="minorEastAsia" w:hAnsiTheme="minorEastAsia" w:cstheme="minorEastAsia"/>
                <w:sz w:val="24"/>
                <w:szCs w:val="24"/>
              </w:rPr>
              <w:t>以上3个方面内容完整符合本项目需求得3分，缺少一项或方案中内容有一项错误或不符合本项目实施的扣1.5分，扣完为止。</w:t>
            </w:r>
          </w:p>
          <w:p>
            <w:pPr>
              <w:pStyle w:val="3"/>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注：内容错误指存在不适用项目实际情况的情形、凭空编造、逻辑漏洞、国家或行业标准错误以及不可能实现的情形等。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4</w:t>
            </w:r>
          </w:p>
        </w:tc>
        <w:tc>
          <w:tcPr>
            <w:tcW w:w="1182"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服务保障</w:t>
            </w:r>
          </w:p>
        </w:tc>
        <w:tc>
          <w:tcPr>
            <w:tcW w:w="1129"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8</w:t>
            </w:r>
          </w:p>
        </w:tc>
        <w:tc>
          <w:tcPr>
            <w:tcW w:w="5819"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1.承诺课程制作培训；需得到全部课程负责人签字确认后再进行下一步流程，得2分。</w:t>
            </w:r>
          </w:p>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2.承诺课程拍摄；需到每一位参拍老师签字确认后再进行下一步流程，得2分。</w:t>
            </w:r>
          </w:p>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3.承诺样片；需得到得到课程负责人签字确认后再进行下一步流程，得2分。</w:t>
            </w:r>
          </w:p>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4.承诺成片；需得到得到课程负责人签字确认，得2分。</w:t>
            </w:r>
          </w:p>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注：提供承诺函并加盖公章。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5</w:t>
            </w:r>
          </w:p>
        </w:tc>
        <w:tc>
          <w:tcPr>
            <w:tcW w:w="1182"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履约能力</w:t>
            </w:r>
          </w:p>
        </w:tc>
        <w:tc>
          <w:tcPr>
            <w:tcW w:w="1129"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hint="eastAsia" w:asciiTheme="minorEastAsia" w:hAnsiTheme="minorEastAsia" w:eastAsiaTheme="minorEastAsia" w:cstheme="minorEastAsia"/>
                <w:b/>
                <w:sz w:val="24"/>
                <w:szCs w:val="24"/>
                <w:lang w:eastAsia="zh-CN"/>
              </w:rPr>
            </w:pPr>
            <w:r>
              <w:rPr>
                <w:rFonts w:hint="eastAsia" w:asciiTheme="minorEastAsia" w:hAnsiTheme="minorEastAsia" w:cstheme="minorEastAsia"/>
                <w:b/>
                <w:sz w:val="24"/>
                <w:szCs w:val="24"/>
                <w:highlight w:val="yellow"/>
                <w:lang w:val="en-US" w:eastAsia="zh-CN"/>
              </w:rPr>
              <w:t>3</w:t>
            </w:r>
          </w:p>
        </w:tc>
        <w:tc>
          <w:tcPr>
            <w:tcW w:w="5819" w:type="dxa"/>
            <w:tcBorders>
              <w:top w:val="single" w:color="auto" w:sz="4" w:space="0"/>
              <w:left w:val="single" w:color="auto" w:sz="4" w:space="0"/>
              <w:bottom w:val="single" w:color="auto" w:sz="4" w:space="0"/>
              <w:right w:val="single" w:color="auto" w:sz="4" w:space="0"/>
            </w:tcBorders>
            <w:vAlign w:val="center"/>
          </w:tcPr>
          <w:p>
            <w:pPr>
              <w:pStyle w:val="3"/>
              <w:numPr>
                <w:ilvl w:val="0"/>
                <w:numId w:val="3"/>
              </w:numPr>
              <w:snapToGrid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供应商提供2017年1月1日以来</w:t>
            </w:r>
            <w:r>
              <w:rPr>
                <w:rFonts w:hint="eastAsia" w:asciiTheme="minorEastAsia" w:hAnsiTheme="minorEastAsia" w:cstheme="minorEastAsia"/>
                <w:color w:val="000000"/>
                <w:sz w:val="24"/>
                <w:szCs w:val="24"/>
              </w:rPr>
              <w:t>类似项目合同，</w:t>
            </w:r>
            <w:r>
              <w:rPr>
                <w:rFonts w:hint="eastAsia" w:asciiTheme="minorEastAsia" w:hAnsiTheme="minorEastAsia" w:cstheme="minorEastAsia"/>
                <w:sz w:val="24"/>
                <w:szCs w:val="24"/>
              </w:rPr>
              <w:t>提供</w:t>
            </w:r>
            <w:r>
              <w:rPr>
                <w:rFonts w:hint="eastAsia" w:asciiTheme="minorEastAsia" w:hAnsiTheme="minorEastAsia" w:cstheme="minorEastAsia"/>
                <w:sz w:val="24"/>
                <w:szCs w:val="24"/>
                <w:highlight w:val="yellow"/>
              </w:rPr>
              <w:t>一个计</w:t>
            </w:r>
            <w:r>
              <w:rPr>
                <w:rFonts w:hint="eastAsia" w:asciiTheme="minorEastAsia" w:hAnsiTheme="minorEastAsia" w:cstheme="minorEastAsia"/>
                <w:sz w:val="24"/>
                <w:szCs w:val="24"/>
                <w:highlight w:val="yellow"/>
                <w:lang w:val="en-US" w:eastAsia="zh-CN"/>
              </w:rPr>
              <w:t>1.5</w:t>
            </w:r>
            <w:r>
              <w:rPr>
                <w:rFonts w:hint="eastAsia" w:asciiTheme="minorEastAsia" w:hAnsiTheme="minorEastAsia" w:cstheme="minorEastAsia"/>
                <w:sz w:val="24"/>
                <w:szCs w:val="24"/>
                <w:highlight w:val="yellow"/>
              </w:rPr>
              <w:t>分，本项最高</w:t>
            </w:r>
            <w:r>
              <w:rPr>
                <w:rFonts w:hint="eastAsia" w:asciiTheme="minorEastAsia" w:hAnsiTheme="minorEastAsia" w:cstheme="minorEastAsia"/>
                <w:sz w:val="24"/>
                <w:szCs w:val="24"/>
                <w:highlight w:val="yellow"/>
                <w:lang w:val="en-US" w:eastAsia="zh-CN"/>
              </w:rPr>
              <w:t>3</w:t>
            </w:r>
            <w:r>
              <w:rPr>
                <w:rFonts w:hint="eastAsia" w:asciiTheme="minorEastAsia" w:hAnsiTheme="minorEastAsia" w:cstheme="minorEastAsia"/>
                <w:sz w:val="24"/>
                <w:szCs w:val="24"/>
                <w:highlight w:val="yellow"/>
              </w:rPr>
              <w:t>分。</w:t>
            </w:r>
          </w:p>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注：提供合同复印件并加盖公章。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6</w:t>
            </w:r>
          </w:p>
        </w:tc>
        <w:tc>
          <w:tcPr>
            <w:tcW w:w="1182"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highlight w:val="yellow"/>
              </w:rPr>
              <w:t>拍摄质量保障</w:t>
            </w:r>
          </w:p>
        </w:tc>
        <w:tc>
          <w:tcPr>
            <w:tcW w:w="1129"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5</w:t>
            </w:r>
          </w:p>
        </w:tc>
        <w:tc>
          <w:tcPr>
            <w:tcW w:w="5819"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对于课程拍摄过程进行质量管控；通过智能一体化拍摄管理平台进行管控，供应商需要提供如下功能的参数偏离表、全部功能的系统操作截图及文字说明；每项0.5分，最高得5分。</w:t>
            </w:r>
          </w:p>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1.智能语音唤醒所有拍摄相关设备。</w:t>
            </w:r>
          </w:p>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2.对老师镜头语言评分；在试拍时给老师的镜头表达进行评分，分为高分/中分/低分。</w:t>
            </w:r>
          </w:p>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3.老师专注度评分；拍摄进行时给老师的专注度进行打分，当老师专注度出现问题，系统会自动亮黄色。</w:t>
            </w:r>
          </w:p>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4.老师面部表情评分；当老师面部表情过于夸张，或是过于严肃、严谨进行打分，当分数过低自动亮黄。</w:t>
            </w:r>
          </w:p>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5.语音智能识别是否错稿并及时亮黄色报警。</w:t>
            </w:r>
          </w:p>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6.当老师出现录课疲倦时能自动感应并亮红色报警。</w:t>
            </w:r>
          </w:p>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7.可根据老师手势进行错误纠正，例如老师手势过于夸张，或是过于严谨，系统会自动亮红灯。</w:t>
            </w:r>
          </w:p>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8.系统有记忆功能，能记忆录制老师身高，下次拍摄会自动进行机位调节。</w:t>
            </w:r>
          </w:p>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9.可根据课程类别自动匹配灯光数量及照明色温，镜头可根据老师面部表情自动拉伸及旋转。</w:t>
            </w:r>
          </w:p>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10.可根据课程类别自动调整灯光位置及色温。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9</w:t>
            </w:r>
          </w:p>
        </w:tc>
        <w:tc>
          <w:tcPr>
            <w:tcW w:w="1182"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cstheme="minorEastAsia"/>
                <w:b/>
                <w:sz w:val="24"/>
                <w:szCs w:val="24"/>
                <w:highlight w:val="yellow"/>
              </w:rPr>
            </w:pPr>
            <w:r>
              <w:rPr>
                <w:rFonts w:hint="eastAsia" w:asciiTheme="minorEastAsia" w:hAnsiTheme="minorEastAsia" w:cstheme="minorEastAsia"/>
                <w:b/>
                <w:sz w:val="24"/>
                <w:szCs w:val="24"/>
                <w:highlight w:val="yellow"/>
              </w:rPr>
              <w:t>现场真实演示</w:t>
            </w:r>
          </w:p>
        </w:tc>
        <w:tc>
          <w:tcPr>
            <w:tcW w:w="1129"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cstheme="minorEastAsia"/>
                <w:b/>
                <w:sz w:val="24"/>
                <w:szCs w:val="24"/>
                <w:highlight w:val="yellow"/>
              </w:rPr>
            </w:pPr>
            <w:r>
              <w:rPr>
                <w:rFonts w:hint="eastAsia" w:asciiTheme="minorEastAsia" w:hAnsiTheme="minorEastAsia" w:cstheme="minorEastAsia"/>
                <w:b/>
                <w:sz w:val="24"/>
                <w:szCs w:val="24"/>
                <w:highlight w:val="yellow"/>
              </w:rPr>
              <w:t>13</w:t>
            </w:r>
          </w:p>
        </w:tc>
        <w:tc>
          <w:tcPr>
            <w:tcW w:w="5819"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演示课程制作管理软件：</w:t>
            </w:r>
          </w:p>
          <w:p>
            <w:pPr>
              <w:tabs>
                <w:tab w:val="left" w:pos="4410"/>
              </w:tabs>
              <w:wordWrap w:val="0"/>
              <w:spacing w:line="360" w:lineRule="auto"/>
              <w:rPr>
                <w:rFonts w:hint="eastAsia" w:asciiTheme="minorEastAsia" w:hAnsiTheme="minorEastAsia" w:cstheme="minorEastAsia"/>
                <w:sz w:val="24"/>
                <w:szCs w:val="24"/>
              </w:rPr>
            </w:pPr>
            <w:r>
              <w:rPr>
                <w:rFonts w:hint="eastAsia" w:asciiTheme="minorEastAsia" w:hAnsiTheme="minorEastAsia" w:cstheme="minorEastAsia"/>
                <w:sz w:val="24"/>
                <w:szCs w:val="24"/>
              </w:rPr>
              <w:t>对其功能需要现场进行演示，自备演示电脑，不接受demo、视频动画、PPT、图像、图片等静态功能演示，演示时间不得超过20分钟，总分13分。</w:t>
            </w:r>
          </w:p>
          <w:p>
            <w:pPr>
              <w:pStyle w:val="2"/>
              <w:numPr>
                <w:ilvl w:val="0"/>
                <w:numId w:val="4"/>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支持工作量统计：确保项目按进度进行，能够按照总计、月计、日计，进行展现整体情况，展现需要通过直观的统计图呈现。总计视频量图形展现;点击年份可以自动跳转到月份统计图，需要按照新增、修改进行展现具体数据。总计员工工作量展现，按照新增、修改进行展现，同时需要进行递增排行展现。总计视频类型统计，需要按照视频不同类型进行统计，按照课程、宣传片、样片进行统计。</w:t>
            </w:r>
          </w:p>
          <w:p>
            <w:pPr>
              <w:pStyle w:val="2"/>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月计按照员工工作量与课程类型进行统计。月计员工工作量，需要展现修改、新增工作量。月计课程类型，按照宣传片、课程、样片进行展现。月计支持表格形式展现，同时支持导出。</w:t>
            </w:r>
          </w:p>
          <w:p>
            <w:pPr>
              <w:pStyle w:val="2"/>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日计按照年、月、日、星期为单位进行展现每位后期的工作量统计，统计需要按照新增、修改进行展现，支持表格导出。（1.5分）</w:t>
            </w:r>
          </w:p>
          <w:p>
            <w:pPr>
              <w:pStyle w:val="2"/>
              <w:numPr>
                <w:ilvl w:val="0"/>
                <w:numId w:val="4"/>
              </w:numPr>
              <w:spacing w:line="360" w:lineRule="auto"/>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课程运行：支持导入、导出数据统计，统计按照线上课程、线下课程进行数据统计。线上课程导出数据为课程名字、课程类型、视频时长、非视频资源、作业测验、考核情况、互动情况、最终成绩等、课程优秀数据评分。支持整体导出，还支持单门课程导出，单门课程导出支持导出预览。</w:t>
            </w:r>
          </w:p>
          <w:p>
            <w:pPr>
              <w:pStyle w:val="2"/>
              <w:numPr>
                <w:ilvl w:val="0"/>
                <w:numId w:val="0"/>
              </w:numPr>
              <w:spacing w:line="360" w:lineRule="auto"/>
              <w:jc w:val="both"/>
              <w:rPr>
                <w:rFonts w:hint="default"/>
                <w:lang w:val="en-US" w:eastAsia="zh-CN"/>
              </w:rPr>
            </w:pPr>
            <w:r>
              <w:rPr>
                <w:rFonts w:hint="eastAsia" w:asciiTheme="minorEastAsia" w:hAnsiTheme="minorEastAsia" w:eastAsiaTheme="minorEastAsia" w:cstheme="minorEastAsia"/>
                <w:sz w:val="24"/>
                <w:szCs w:val="24"/>
                <w:lang w:val="en-US" w:eastAsia="zh-CN"/>
              </w:rPr>
              <w:t>线下课堂导出数据为课堂名字、课堂人数、签到个数、问卷个数、讨论个数、点名次数、签到人数、签到率、及对于课堂整体评分。(1.5分)</w:t>
            </w:r>
          </w:p>
          <w:p>
            <w:pPr>
              <w:pStyle w:val="2"/>
              <w:numPr>
                <w:ilvl w:val="0"/>
                <w:numId w:val="4"/>
              </w:numPr>
              <w:spacing w:line="360" w:lineRule="auto"/>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首页：整体显示主题可以进行颜色切换，满足不同年龄的老师使用。支持修改密码。支持角色切换。展示月度统计数据图，按照拍摄、完成、交付进行整体数据展现，需要直观的统计图利如折线图、饼状图等。</w:t>
            </w:r>
            <w:r>
              <w:rPr>
                <w:rFonts w:hint="eastAsia" w:asciiTheme="minorEastAsia" w:hAnsiTheme="minorEastAsia" w:eastAsiaTheme="minorEastAsia" w:cstheme="minorEastAsia"/>
                <w:sz w:val="24"/>
                <w:szCs w:val="24"/>
              </w:rPr>
              <w:t>（0.5分）</w:t>
            </w:r>
          </w:p>
          <w:p>
            <w:pPr>
              <w:pStyle w:val="2"/>
              <w:numPr>
                <w:ilvl w:val="0"/>
                <w:numId w:val="4"/>
              </w:numPr>
              <w:spacing w:line="360" w:lineRule="auto"/>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首页：待约拍摄的数量展示，待约拍摄比例展示，待拍摄数量展示，待拍摄比例展示，待制作数量展示，待制作比例展示，审核修改的数量展示，审核修改比例展示，已完成数量展示，已完成比例。（0.25分）</w:t>
            </w:r>
          </w:p>
          <w:p>
            <w:pPr>
              <w:pStyle w:val="2"/>
              <w:numPr>
                <w:ilvl w:val="0"/>
                <w:numId w:val="4"/>
              </w:numPr>
              <w:spacing w:line="360" w:lineRule="auto"/>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首页：</w:t>
            </w:r>
            <w:r>
              <w:rPr>
                <w:rFonts w:hint="eastAsia" w:asciiTheme="minorEastAsia" w:hAnsiTheme="minorEastAsia" w:eastAsiaTheme="minorEastAsia" w:cstheme="minorEastAsia"/>
                <w:sz w:val="24"/>
                <w:szCs w:val="24"/>
              </w:rPr>
              <w:t>展示最新视频，显示最新视频上传时间，后期制作人员、制作版本的第几版，显示按照今日、本周、全部进行展现。</w:t>
            </w:r>
            <w:r>
              <w:rPr>
                <w:rFonts w:hint="eastAsia" w:asciiTheme="minorEastAsia" w:hAnsiTheme="minorEastAsia" w:eastAsiaTheme="minorEastAsia" w:cstheme="minorEastAsia"/>
                <w:sz w:val="24"/>
                <w:szCs w:val="24"/>
                <w:lang w:val="en-US" w:eastAsia="zh-CN"/>
              </w:rPr>
              <w:t>视频</w:t>
            </w:r>
            <w:r>
              <w:rPr>
                <w:rFonts w:hint="eastAsia" w:asciiTheme="minorEastAsia" w:hAnsiTheme="minorEastAsia" w:eastAsiaTheme="minorEastAsia" w:cstheme="minorEastAsia"/>
                <w:sz w:val="24"/>
                <w:szCs w:val="24"/>
              </w:rPr>
              <w:t>需要按照学校名字+课程名字+章节名字进行命名展现。</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0.5分）</w:t>
            </w:r>
          </w:p>
          <w:p>
            <w:pPr>
              <w:pStyle w:val="2"/>
              <w:numPr>
                <w:ilvl w:val="0"/>
                <w:numId w:val="4"/>
              </w:numPr>
              <w:spacing w:line="360" w:lineRule="auto"/>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信息：能按照执行中、已完成进行显示筛选，在这两个状态中还可以按照学校、课程名字进行筛选，选定课程后能显示该课程的课程负责人、项目负责人、项目紧急状态、项目交流群、项目开始时间、项目结束时间、项目备注。项目整体执行进度按照不同阶段进行展现；待约拍、待拍摄、待制作、审核/修改、已完成，不同阶段需要按照已完成、执行中、未执行用不同颜色区分表示。（1</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w:t>
            </w:r>
          </w:p>
          <w:p>
            <w:pPr>
              <w:pStyle w:val="2"/>
              <w:numPr>
                <w:ilvl w:val="0"/>
                <w:numId w:val="4"/>
              </w:numPr>
              <w:spacing w:line="360" w:lineRule="auto"/>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信息：课程按照单讲进行展现，例如一个课程有32讲，需要展现32讲的章节名字、类型（可分为课程、样片）、主讲、素材提交情况、讲稿提交情况、拍摄时间、原片（拍摄）、摄影师、后期制作人员、意见展示、成片展示（需要展示制作过程中的每一个版本，并进行版本编号）。可自由增加和删除单讲。支持上传确认表，确认表可分为样片确认表、成片确认表、拍摄确认表。（1</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w:t>
            </w:r>
          </w:p>
          <w:p>
            <w:pPr>
              <w:pStyle w:val="2"/>
              <w:numPr>
                <w:ilvl w:val="0"/>
                <w:numId w:val="4"/>
              </w:numPr>
              <w:spacing w:line="360" w:lineRule="auto"/>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总表：创建完毕后的项目信息能自动生成项目总表系统模块，总表的课程和项目信息的课程需要吻合。该模块支持筛选功能，可筛选学校、视频、章节、类型、负责人、负责人、主讲、讲稿、素材、原片、开始时间、拍摄时间、摄影师、后期制作、状态。（</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.5分）</w:t>
            </w:r>
          </w:p>
          <w:p>
            <w:pPr>
              <w:pStyle w:val="2"/>
              <w:numPr>
                <w:ilvl w:val="0"/>
                <w:numId w:val="4"/>
              </w:numPr>
              <w:spacing w:line="360" w:lineRule="auto"/>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制作规范：可随意添加规范项目与规范内容，并支持可编辑、删除。（0.25分）</w:t>
            </w:r>
          </w:p>
          <w:p>
            <w:pPr>
              <w:pStyle w:val="2"/>
              <w:numPr>
                <w:ilvl w:val="0"/>
                <w:numId w:val="4"/>
              </w:num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管理：单位管理，支持添加单位名称、单位简称、自动生成维护时间、当前状态（可设置停用、修改、删除）。角色管理，可设置讲师权限、课程负责人权限、学校管理员权限，同时可设置启用、停用、自动生成维护时间。用户管理可在指定学校下面新增登录ID、姓名、角色（可下拉选择学校管理员、讲师、课程负责人）可设置停用、启用（设置后该用户信息就会自动归类到停用、启用界面）、支持修改、删除、排序。支持菜单管理、支持菜单停用、启用。支持授权管理，可设置学校管理、课程负责人、讲师拥有如下权限；首页、视频类型、项目信息、项目总表、制作规范、系统管理、单位管理、角色管理、用户管理、菜单管理、授权管理。（</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分）</w:t>
            </w:r>
          </w:p>
          <w:p>
            <w:pPr>
              <w:pStyle w:val="2"/>
              <w:numPr>
                <w:ilvl w:val="0"/>
                <w:numId w:val="4"/>
              </w:numPr>
              <w:spacing w:line="360" w:lineRule="auto"/>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提供本次演示的管理软件著作权复印件，软件需是课程制作类管理软件，提供相关证明，并提供中国版权保护中心截图。（2分）</w:t>
            </w:r>
          </w:p>
        </w:tc>
      </w:tr>
    </w:tbl>
    <w:p>
      <w:r>
        <w:rPr>
          <w:rFonts w:hint="eastAsia"/>
        </w:rPr>
        <w:t xml:space="preserve">    </w:t>
      </w: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8、合同管理安排</w:t>
      </w:r>
    </w:p>
    <w:p>
      <w:pPr>
        <w:widowControl/>
        <w:shd w:val="clear" w:color="auto" w:fill="FFFFFF"/>
        <w:spacing w:line="480" w:lineRule="auto"/>
        <w:ind w:firstLine="840"/>
        <w:rPr>
          <w:rFonts w:ascii="宋体" w:hAnsi="宋体" w:eastAsia="宋体" w:cs="宋体"/>
          <w:color w:val="0A82E5"/>
          <w:kern w:val="0"/>
          <w:sz w:val="24"/>
          <w:szCs w:val="24"/>
          <w:shd w:val="clear" w:color="auto" w:fill="FFFF00"/>
        </w:rPr>
      </w:pPr>
      <w:r>
        <w:rPr>
          <w:rFonts w:hint="eastAsia" w:ascii="宋体" w:hAnsi="宋体" w:eastAsia="宋体" w:cs="宋体"/>
          <w:color w:val="FF0000"/>
          <w:kern w:val="0"/>
          <w:sz w:val="24"/>
          <w:szCs w:val="24"/>
        </w:rPr>
        <w:t>1）合同类型：</w:t>
      </w:r>
      <w:r>
        <w:rPr>
          <w:rFonts w:hint="eastAsia" w:ascii="宋体" w:hAnsi="宋体" w:eastAsia="宋体" w:cs="宋体"/>
          <w:color w:val="333333"/>
          <w:kern w:val="0"/>
          <w:sz w:val="24"/>
          <w:szCs w:val="24"/>
        </w:rPr>
        <w:t>买卖合同□  租赁合同□  建设工程合同□  技术服务合同</w:t>
      </w: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 xml:space="preserve">  委托合同□  物业管理合同□  其他合同</w:t>
      </w:r>
      <w:r>
        <w:rPr>
          <w:rFonts w:hint="eastAsia" w:ascii="宋体" w:hAnsi="宋体" w:eastAsia="宋体" w:cs="宋体"/>
          <w:color w:val="333333"/>
          <w:kern w:val="0"/>
          <w:sz w:val="24"/>
          <w:szCs w:val="24"/>
        </w:rPr>
        <w:sym w:font="Wingdings 2" w:char="00A3"/>
      </w:r>
    </w:p>
    <w:p>
      <w:pPr>
        <w:widowControl/>
        <w:shd w:val="clear" w:color="auto" w:fill="FFFFFF"/>
        <w:spacing w:line="480" w:lineRule="auto"/>
        <w:ind w:firstLine="840"/>
        <w:rPr>
          <w:rFonts w:ascii="宋体" w:hAnsi="宋体" w:eastAsia="宋体" w:cs="宋体"/>
          <w:color w:val="333333"/>
          <w:kern w:val="0"/>
          <w:sz w:val="24"/>
          <w:szCs w:val="24"/>
        </w:rPr>
      </w:pPr>
      <w:r>
        <w:rPr>
          <w:rFonts w:ascii="宋体" w:hAnsi="宋体" w:eastAsia="宋体" w:cs="宋体"/>
          <w:color w:val="FF0000"/>
          <w:kern w:val="0"/>
          <w:sz w:val="24"/>
          <w:szCs w:val="24"/>
        </w:rPr>
        <w:t>2</w:t>
      </w:r>
      <w:r>
        <w:rPr>
          <w:rFonts w:hint="eastAsia" w:ascii="宋体" w:hAnsi="宋体" w:eastAsia="宋体" w:cs="宋体"/>
          <w:color w:val="FF0000"/>
          <w:kern w:val="0"/>
          <w:sz w:val="24"/>
          <w:szCs w:val="24"/>
        </w:rPr>
        <w:t>）合同履行期限：</w:t>
      </w:r>
      <w:r>
        <w:rPr>
          <w:rFonts w:hint="eastAsia" w:ascii="宋体" w:hAnsi="宋体" w:eastAsia="宋体" w:cs="宋体"/>
          <w:color w:val="333333"/>
          <w:kern w:val="0"/>
          <w:sz w:val="24"/>
          <w:szCs w:val="24"/>
        </w:rPr>
        <w:t>自合同签订之日起</w:t>
      </w:r>
      <w:r>
        <w:t xml:space="preserve"> </w:t>
      </w:r>
      <w:r>
        <w:rPr>
          <w:rFonts w:hint="eastAsia"/>
        </w:rPr>
        <w:t>365</w:t>
      </w:r>
      <w:r>
        <w:t xml:space="preserve"> </w:t>
      </w:r>
      <w:r>
        <w:rPr>
          <w:rFonts w:hint="eastAsia" w:ascii="宋体" w:hAnsi="宋体" w:eastAsia="宋体" w:cs="宋体"/>
          <w:color w:val="333333"/>
          <w:kern w:val="0"/>
          <w:sz w:val="24"/>
          <w:szCs w:val="24"/>
        </w:rPr>
        <w:t>日</w:t>
      </w:r>
    </w:p>
    <w:p>
      <w:pPr>
        <w:widowControl/>
        <w:shd w:val="clear" w:color="auto" w:fill="FFFFFF"/>
        <w:spacing w:line="480" w:lineRule="auto"/>
        <w:ind w:firstLine="840"/>
        <w:rPr>
          <w:rFonts w:ascii="宋体" w:hAnsi="宋体" w:eastAsia="宋体" w:cs="宋体"/>
          <w:color w:val="FF0000"/>
          <w:kern w:val="0"/>
          <w:sz w:val="24"/>
          <w:szCs w:val="24"/>
        </w:rPr>
      </w:pPr>
      <w:r>
        <w:rPr>
          <w:rFonts w:ascii="宋体" w:hAnsi="宋体" w:eastAsia="宋体" w:cs="宋体"/>
          <w:color w:val="FF0000"/>
          <w:kern w:val="0"/>
          <w:sz w:val="24"/>
          <w:szCs w:val="24"/>
        </w:rPr>
        <w:t>3</w:t>
      </w:r>
      <w:r>
        <w:rPr>
          <w:rFonts w:hint="eastAsia" w:ascii="宋体" w:hAnsi="宋体" w:eastAsia="宋体" w:cs="宋体"/>
          <w:color w:val="FF0000"/>
          <w:kern w:val="0"/>
          <w:sz w:val="24"/>
          <w:szCs w:val="24"/>
        </w:rPr>
        <w:t>）合同履约地点：西华大学郫县校区</w:t>
      </w:r>
    </w:p>
    <w:p>
      <w:pPr>
        <w:widowControl/>
        <w:shd w:val="clear" w:color="auto" w:fill="FFFFFF"/>
        <w:spacing w:line="480" w:lineRule="auto"/>
        <w:ind w:firstLine="840"/>
        <w:rPr>
          <w:rFonts w:ascii="宋体" w:hAnsi="宋体" w:eastAsia="宋体" w:cs="宋体"/>
          <w:color w:val="0A82E5"/>
          <w:kern w:val="0"/>
          <w:sz w:val="24"/>
          <w:szCs w:val="24"/>
          <w:shd w:val="clear" w:color="auto" w:fill="FFFF00"/>
        </w:rPr>
      </w:pPr>
      <w:r>
        <w:rPr>
          <w:rFonts w:ascii="宋体" w:hAnsi="宋体" w:eastAsia="宋体" w:cs="宋体"/>
          <w:color w:val="333333"/>
          <w:kern w:val="0"/>
          <w:sz w:val="24"/>
          <w:szCs w:val="24"/>
        </w:rPr>
        <w:t>4</w:t>
      </w:r>
      <w:r>
        <w:rPr>
          <w:rFonts w:hint="eastAsia" w:ascii="宋体" w:hAnsi="宋体" w:eastAsia="宋体" w:cs="宋体"/>
          <w:color w:val="333333"/>
          <w:kern w:val="0"/>
          <w:sz w:val="24"/>
          <w:szCs w:val="24"/>
        </w:rPr>
        <w:t>）支付方式：</w:t>
      </w:r>
      <w:r>
        <w:rPr>
          <w:rFonts w:hint="eastAsia"/>
          <w:color w:val="FF0000"/>
          <w:sz w:val="24"/>
        </w:rPr>
        <w:t>一次付清</w:t>
      </w:r>
      <w:r>
        <w:rPr>
          <w:rFonts w:hint="eastAsia" w:ascii="宋体" w:hAnsi="宋体" w:eastAsia="宋体" w:cs="宋体"/>
          <w:color w:val="FF0000"/>
          <w:kern w:val="0"/>
          <w:sz w:val="24"/>
          <w:szCs w:val="24"/>
        </w:rPr>
        <w:t>□</w:t>
      </w:r>
      <w:r>
        <w:rPr>
          <w:rFonts w:hint="eastAsia"/>
          <w:sz w:val="24"/>
        </w:rPr>
        <w:t xml:space="preserve">   </w:t>
      </w:r>
      <w:r>
        <w:rPr>
          <w:rFonts w:hint="eastAsia"/>
          <w:color w:val="FF0000"/>
          <w:sz w:val="24"/>
        </w:rPr>
        <w:t>分期付款</w:t>
      </w:r>
      <w:r>
        <w:rPr>
          <w:rFonts w:hint="eastAsia" w:ascii="宋体" w:hAnsi="宋体" w:eastAsia="宋体" w:cs="宋体"/>
          <w:color w:val="FF0000"/>
          <w:kern w:val="0"/>
          <w:sz w:val="24"/>
          <w:szCs w:val="24"/>
        </w:rPr>
        <w:sym w:font="Wingdings 2" w:char="0052"/>
      </w:r>
      <w:r>
        <w:rPr>
          <w:rFonts w:ascii="宋体" w:hAnsi="宋体" w:eastAsia="宋体" w:cs="宋体"/>
          <w:color w:val="FF0000"/>
          <w:kern w:val="0"/>
          <w:sz w:val="24"/>
          <w:szCs w:val="24"/>
        </w:rPr>
        <w:t xml:space="preserve"> </w:t>
      </w:r>
      <w:r>
        <w:rPr>
          <w:rFonts w:hint="eastAsia" w:ascii="宋体" w:hAnsi="宋体" w:eastAsia="宋体" w:cs="宋体"/>
          <w:color w:val="FF0000"/>
          <w:kern w:val="0"/>
          <w:sz w:val="24"/>
          <w:szCs w:val="24"/>
        </w:rPr>
        <w:t>比例</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首期60%尾款40%</w:t>
      </w:r>
    </w:p>
    <w:p>
      <w:pPr>
        <w:ind w:firstLine="840" w:firstLineChars="300"/>
        <w:rPr>
          <w:sz w:val="28"/>
        </w:rPr>
      </w:pPr>
      <w:r>
        <w:rPr>
          <w:sz w:val="28"/>
        </w:rPr>
        <w:t>5</w:t>
      </w:r>
      <w:r>
        <w:rPr>
          <w:rFonts w:hint="eastAsia"/>
          <w:sz w:val="28"/>
        </w:rPr>
        <w:t>）履约保证金及缴纳形式：</w:t>
      </w:r>
    </w:p>
    <w:p>
      <w:pPr>
        <w:ind w:firstLine="840" w:firstLineChars="300"/>
        <w:rPr>
          <w:sz w:val="28"/>
        </w:rPr>
      </w:pPr>
      <w:r>
        <w:rPr>
          <w:rFonts w:hint="eastAsia"/>
          <w:sz w:val="28"/>
        </w:rPr>
        <w:t>中标/成交供应商是否需要缴纳履约保证金：是</w:t>
      </w:r>
    </w:p>
    <w:p>
      <w:pPr>
        <w:ind w:firstLine="840" w:firstLineChars="300"/>
        <w:rPr>
          <w:sz w:val="28"/>
        </w:rPr>
      </w:pPr>
      <w:r>
        <w:rPr>
          <w:rFonts w:hint="eastAsia"/>
          <w:sz w:val="28"/>
        </w:rPr>
        <w:t>履约保证金缴纳比例：5%</w:t>
      </w:r>
    </w:p>
    <w:p>
      <w:pPr>
        <w:ind w:firstLine="840" w:firstLineChars="300"/>
        <w:rPr>
          <w:sz w:val="28"/>
        </w:rPr>
      </w:pPr>
      <w:r>
        <w:rPr>
          <w:rFonts w:hint="eastAsia"/>
          <w:sz w:val="28"/>
        </w:rPr>
        <w:t>缴纳方式：银行转账</w:t>
      </w:r>
    </w:p>
    <w:p>
      <w:pPr>
        <w:ind w:firstLine="840" w:firstLineChars="300"/>
        <w:rPr>
          <w:sz w:val="28"/>
        </w:rPr>
      </w:pPr>
      <w:r>
        <w:rPr>
          <w:rFonts w:hint="eastAsia"/>
          <w:sz w:val="28"/>
        </w:rPr>
        <w:t>缴纳说明：缴纳履约保证金后签订合同</w:t>
      </w:r>
    </w:p>
    <w:p>
      <w:pPr>
        <w:ind w:firstLine="840" w:firstLineChars="300"/>
        <w:rPr>
          <w:sz w:val="28"/>
        </w:rPr>
      </w:pPr>
      <w:r>
        <w:rPr>
          <w:sz w:val="28"/>
        </w:rPr>
        <w:t>6</w:t>
      </w:r>
      <w:r>
        <w:rPr>
          <w:rFonts w:hint="eastAsia"/>
          <w:sz w:val="28"/>
        </w:rPr>
        <w:t>）质量保证金及缴纳形式：</w:t>
      </w:r>
    </w:p>
    <w:p>
      <w:pPr>
        <w:ind w:firstLine="700" w:firstLineChars="250"/>
        <w:rPr>
          <w:sz w:val="28"/>
        </w:rPr>
      </w:pPr>
      <w:r>
        <w:rPr>
          <w:rFonts w:hint="eastAsia"/>
          <w:sz w:val="28"/>
        </w:rPr>
        <w:t>中标/成交供应商是否需要缴纳质量保证金：否</w:t>
      </w:r>
    </w:p>
    <w:p>
      <w:pPr>
        <w:ind w:firstLine="600" w:firstLineChars="250"/>
        <w:rPr>
          <w:sz w:val="24"/>
        </w:rPr>
      </w:pPr>
    </w:p>
    <w:p>
      <w:pPr>
        <w:widowControl/>
        <w:shd w:val="clear" w:color="auto" w:fill="FFFFFF"/>
        <w:spacing w:line="480" w:lineRule="auto"/>
        <w:ind w:firstLine="720" w:firstLineChars="300"/>
        <w:rPr>
          <w:rFonts w:ascii="宋体" w:hAnsi="宋体" w:eastAsia="宋体" w:cs="宋体"/>
          <w:color w:val="FF0000"/>
          <w:kern w:val="0"/>
          <w:sz w:val="24"/>
          <w:szCs w:val="24"/>
        </w:rPr>
      </w:pPr>
      <w:r>
        <w:rPr>
          <w:rFonts w:hint="eastAsia" w:ascii="宋体" w:hAnsi="宋体" w:eastAsia="宋体" w:cs="宋体"/>
          <w:color w:val="FF0000"/>
          <w:kern w:val="0"/>
          <w:sz w:val="24"/>
          <w:szCs w:val="24"/>
        </w:rPr>
        <w:t>合同支付约定</w:t>
      </w:r>
    </w:p>
    <w:p>
      <w:pPr>
        <w:widowControl/>
        <w:shd w:val="clear" w:color="auto" w:fill="FFFFFF"/>
        <w:spacing w:line="480" w:lineRule="auto"/>
        <w:ind w:firstLine="720" w:firstLineChars="300"/>
        <w:rPr>
          <w:rFonts w:ascii="宋体" w:hAnsi="宋体" w:eastAsia="宋体" w:cs="宋体"/>
          <w:color w:val="FF0000"/>
          <w:kern w:val="0"/>
          <w:sz w:val="24"/>
          <w:szCs w:val="24"/>
        </w:rPr>
      </w:pPr>
      <w:r>
        <w:rPr>
          <w:rFonts w:hint="eastAsia" w:ascii="宋体" w:hAnsi="宋体" w:eastAsia="宋体" w:cs="宋体"/>
          <w:color w:val="FF0000"/>
          <w:kern w:val="0"/>
          <w:sz w:val="24"/>
          <w:szCs w:val="24"/>
        </w:rPr>
        <w:t>付款</w:t>
      </w:r>
      <w:r>
        <w:rPr>
          <w:rFonts w:ascii="宋体" w:hAnsi="宋体" w:eastAsia="宋体" w:cs="宋体"/>
          <w:color w:val="FF0000"/>
          <w:kern w:val="0"/>
          <w:sz w:val="24"/>
          <w:szCs w:val="24"/>
        </w:rPr>
        <w:t>条件：</w:t>
      </w:r>
    </w:p>
    <w:p>
      <w:pPr>
        <w:widowControl/>
        <w:shd w:val="clear" w:color="auto" w:fill="FFFFFF"/>
        <w:spacing w:line="480" w:lineRule="auto"/>
        <w:ind w:firstLine="720" w:firstLineChars="300"/>
        <w:rPr>
          <w:rFonts w:ascii="宋体" w:hAnsi="宋体" w:eastAsia="宋体" w:cs="宋体"/>
          <w:color w:val="FF0000"/>
          <w:kern w:val="0"/>
          <w:sz w:val="24"/>
          <w:szCs w:val="24"/>
        </w:rPr>
      </w:pPr>
      <w:r>
        <w:rPr>
          <w:rFonts w:hint="eastAsia" w:ascii="宋体" w:hAnsi="宋体" w:eastAsia="宋体" w:cs="宋体"/>
          <w:color w:val="FF0000"/>
          <w:kern w:val="0"/>
          <w:sz w:val="24"/>
          <w:szCs w:val="24"/>
        </w:rPr>
        <w:t>合同签订并完成整体制作管理时间表后，支付合同金额</w:t>
      </w:r>
      <w:r>
        <w:rPr>
          <w:rFonts w:ascii="宋体" w:hAnsi="宋体" w:eastAsia="宋体" w:cs="宋体"/>
          <w:color w:val="FF0000"/>
          <w:kern w:val="0"/>
          <w:sz w:val="24"/>
          <w:szCs w:val="24"/>
        </w:rPr>
        <w:t>60%</w:t>
      </w:r>
      <w:r>
        <w:rPr>
          <w:rFonts w:hint="eastAsia" w:ascii="宋体" w:hAnsi="宋体" w:eastAsia="宋体" w:cs="宋体"/>
          <w:color w:val="FF0000"/>
          <w:kern w:val="0"/>
          <w:sz w:val="24"/>
          <w:szCs w:val="24"/>
        </w:rPr>
        <w:t>，完成验收后支付合同金额</w:t>
      </w:r>
      <w:r>
        <w:rPr>
          <w:rFonts w:ascii="宋体" w:hAnsi="宋体" w:eastAsia="宋体" w:cs="宋体"/>
          <w:color w:val="FF0000"/>
          <w:kern w:val="0"/>
          <w:sz w:val="24"/>
          <w:szCs w:val="24"/>
        </w:rPr>
        <w:t>40%</w:t>
      </w:r>
      <w:r>
        <w:rPr>
          <w:rFonts w:hint="eastAsia" w:ascii="宋体" w:hAnsi="宋体" w:eastAsia="宋体" w:cs="宋体"/>
          <w:color w:val="FF0000"/>
          <w:kern w:val="0"/>
          <w:sz w:val="24"/>
          <w:szCs w:val="24"/>
        </w:rPr>
        <w:t>。</w:t>
      </w:r>
    </w:p>
    <w:p>
      <w:pPr>
        <w:widowControl/>
        <w:shd w:val="clear" w:color="auto" w:fill="FFFFFF"/>
        <w:spacing w:line="480" w:lineRule="auto"/>
        <w:ind w:firstLine="840"/>
        <w:rPr>
          <w:rFonts w:ascii="宋体" w:hAnsi="宋体" w:eastAsia="宋体" w:cs="宋体"/>
          <w:color w:val="FF0000"/>
          <w:kern w:val="0"/>
          <w:sz w:val="24"/>
          <w:szCs w:val="24"/>
        </w:rPr>
      </w:pPr>
      <w:r>
        <w:rPr>
          <w:rFonts w:ascii="宋体" w:hAnsi="宋体" w:eastAsia="宋体" w:cs="宋体"/>
          <w:color w:val="FF0000"/>
          <w:kern w:val="0"/>
          <w:sz w:val="24"/>
          <w:szCs w:val="24"/>
        </w:rPr>
        <w:t>7</w:t>
      </w:r>
      <w:r>
        <w:rPr>
          <w:rFonts w:hint="eastAsia" w:ascii="宋体" w:hAnsi="宋体" w:eastAsia="宋体" w:cs="宋体"/>
          <w:color w:val="FF0000"/>
          <w:kern w:val="0"/>
          <w:sz w:val="24"/>
          <w:szCs w:val="24"/>
        </w:rPr>
        <w:t>）验收交付标准和方法：</w:t>
      </w:r>
    </w:p>
    <w:p>
      <w:pPr>
        <w:widowControl/>
        <w:shd w:val="clear" w:color="auto" w:fill="FFFFFF"/>
        <w:spacing w:line="480" w:lineRule="auto"/>
        <w:ind w:firstLine="840"/>
        <w:rPr>
          <w:rFonts w:ascii="宋体" w:hAnsi="宋体" w:eastAsia="宋体" w:cs="宋体"/>
          <w:color w:val="FF0000"/>
          <w:kern w:val="0"/>
          <w:sz w:val="24"/>
          <w:szCs w:val="24"/>
        </w:rPr>
      </w:pPr>
      <w:r>
        <w:rPr>
          <w:rFonts w:hint="eastAsia" w:ascii="宋体" w:hAnsi="宋体" w:eastAsia="宋体" w:cs="宋体"/>
          <w:color w:val="FF0000"/>
          <w:kern w:val="0"/>
          <w:sz w:val="24"/>
          <w:szCs w:val="24"/>
        </w:rPr>
        <w:t>成功交付后方可验收，验收标注参照技术标准。</w:t>
      </w:r>
    </w:p>
    <w:p>
      <w:pPr>
        <w:widowControl/>
        <w:shd w:val="clear" w:color="auto" w:fill="FFFFFF"/>
        <w:spacing w:line="480" w:lineRule="auto"/>
        <w:ind w:firstLine="840"/>
        <w:rPr>
          <w:rFonts w:ascii="宋体" w:hAnsi="宋体" w:eastAsia="宋体" w:cs="宋体"/>
          <w:color w:val="FF0000"/>
          <w:kern w:val="0"/>
          <w:sz w:val="24"/>
          <w:szCs w:val="24"/>
        </w:rPr>
      </w:pPr>
      <w:r>
        <w:rPr>
          <w:rFonts w:ascii="宋体" w:hAnsi="宋体" w:eastAsia="宋体" w:cs="宋体"/>
          <w:color w:val="FF0000"/>
          <w:kern w:val="0"/>
          <w:sz w:val="24"/>
          <w:szCs w:val="24"/>
        </w:rPr>
        <w:t>8</w:t>
      </w:r>
      <w:r>
        <w:rPr>
          <w:rFonts w:hint="eastAsia" w:ascii="宋体" w:hAnsi="宋体" w:eastAsia="宋体" w:cs="宋体"/>
          <w:color w:val="FF0000"/>
          <w:kern w:val="0"/>
          <w:sz w:val="24"/>
          <w:szCs w:val="24"/>
        </w:rPr>
        <w:t>）质量保修范围和保修期：</w:t>
      </w:r>
    </w:p>
    <w:p>
      <w:pPr>
        <w:widowControl/>
        <w:shd w:val="clear" w:color="auto" w:fill="FFFFFF"/>
        <w:spacing w:line="480" w:lineRule="auto"/>
        <w:ind w:firstLine="840"/>
        <w:rPr>
          <w:rFonts w:ascii="宋体" w:hAnsi="宋体" w:eastAsia="宋体" w:cs="宋体"/>
          <w:color w:val="FF0000"/>
          <w:kern w:val="0"/>
          <w:sz w:val="24"/>
          <w:szCs w:val="24"/>
        </w:rPr>
      </w:pPr>
      <w:r>
        <w:rPr>
          <w:rFonts w:hint="eastAsia" w:ascii="宋体" w:hAnsi="宋体" w:eastAsia="宋体" w:cs="宋体"/>
          <w:color w:val="FF0000"/>
          <w:kern w:val="0"/>
          <w:sz w:val="24"/>
          <w:szCs w:val="24"/>
        </w:rPr>
        <w:t>验收后一个月</w:t>
      </w:r>
    </w:p>
    <w:p>
      <w:pPr>
        <w:widowControl/>
        <w:shd w:val="clear" w:color="auto" w:fill="FFFFFF"/>
        <w:spacing w:line="480" w:lineRule="auto"/>
        <w:ind w:firstLine="840"/>
        <w:rPr>
          <w:rFonts w:ascii="宋体" w:hAnsi="宋体" w:eastAsia="宋体" w:cs="宋体"/>
          <w:color w:val="FF0000"/>
          <w:kern w:val="0"/>
          <w:sz w:val="24"/>
          <w:szCs w:val="24"/>
        </w:rPr>
      </w:pPr>
      <w:r>
        <w:rPr>
          <w:rFonts w:ascii="宋体" w:hAnsi="宋体" w:eastAsia="宋体" w:cs="宋体"/>
          <w:color w:val="FF0000"/>
          <w:kern w:val="0"/>
          <w:sz w:val="24"/>
          <w:szCs w:val="24"/>
        </w:rPr>
        <w:t>9</w:t>
      </w:r>
      <w:r>
        <w:rPr>
          <w:rFonts w:hint="eastAsia" w:ascii="宋体" w:hAnsi="宋体" w:eastAsia="宋体" w:cs="宋体"/>
          <w:color w:val="FF0000"/>
          <w:kern w:val="0"/>
          <w:sz w:val="24"/>
          <w:szCs w:val="24"/>
        </w:rPr>
        <w:t>）知识产权归属和处理方式：</w:t>
      </w:r>
    </w:p>
    <w:p>
      <w:pPr>
        <w:widowControl/>
        <w:shd w:val="clear" w:color="auto" w:fill="FFFFFF"/>
        <w:spacing w:line="480" w:lineRule="auto"/>
        <w:ind w:firstLine="840"/>
        <w:rPr>
          <w:rFonts w:ascii="宋体" w:hAnsi="宋体" w:eastAsia="宋体" w:cs="宋体"/>
          <w:color w:val="FF0000"/>
          <w:kern w:val="0"/>
          <w:sz w:val="24"/>
          <w:szCs w:val="24"/>
        </w:rPr>
      </w:pPr>
      <w:r>
        <w:rPr>
          <w:rFonts w:hint="eastAsia" w:ascii="宋体" w:hAnsi="宋体" w:eastAsia="宋体" w:cs="宋体"/>
          <w:color w:val="FF0000"/>
          <w:kern w:val="0"/>
          <w:sz w:val="24"/>
          <w:szCs w:val="24"/>
        </w:rPr>
        <w:t>供应商应保证在本项目中使用的任何技术、产品和服务（包括部分使用），不会产生因第三方提出侵犯其专利权、商标权或其它知识产权而引起的法律和经济纠纷，如存在前述情形，由供应商承担所有相关责任。采购人享有本项目实施过程中产生的知识成果及知识产权。</w:t>
      </w:r>
    </w:p>
    <w:p>
      <w:pPr>
        <w:widowControl/>
        <w:shd w:val="clear" w:color="auto" w:fill="FFFFFF"/>
        <w:spacing w:line="480" w:lineRule="auto"/>
        <w:ind w:firstLine="840"/>
        <w:rPr>
          <w:rFonts w:ascii="宋体" w:hAnsi="宋体" w:eastAsia="宋体" w:cs="宋体"/>
          <w:color w:val="FF0000"/>
          <w:kern w:val="0"/>
          <w:sz w:val="24"/>
          <w:szCs w:val="24"/>
        </w:rPr>
      </w:pPr>
      <w:r>
        <w:rPr>
          <w:rFonts w:hint="eastAsia" w:ascii="宋体" w:hAnsi="宋体" w:eastAsia="宋体" w:cs="宋体"/>
          <w:color w:val="FF0000"/>
          <w:kern w:val="0"/>
          <w:sz w:val="24"/>
          <w:szCs w:val="24"/>
        </w:rPr>
        <w:t>1</w:t>
      </w:r>
      <w:r>
        <w:rPr>
          <w:rFonts w:ascii="宋体" w:hAnsi="宋体" w:eastAsia="宋体" w:cs="宋体"/>
          <w:color w:val="FF0000"/>
          <w:kern w:val="0"/>
          <w:sz w:val="24"/>
          <w:szCs w:val="24"/>
        </w:rPr>
        <w:t>0</w:t>
      </w:r>
      <w:r>
        <w:rPr>
          <w:rFonts w:hint="eastAsia" w:ascii="宋体" w:hAnsi="宋体" w:eastAsia="宋体" w:cs="宋体"/>
          <w:color w:val="FF0000"/>
          <w:kern w:val="0"/>
          <w:sz w:val="24"/>
          <w:szCs w:val="24"/>
        </w:rPr>
        <w:t>）成本补偿和风险分担约定：</w:t>
      </w:r>
    </w:p>
    <w:p>
      <w:pPr>
        <w:pStyle w:val="60"/>
        <w:spacing w:line="360" w:lineRule="auto"/>
        <w:ind w:firstLine="480"/>
        <w:rPr>
          <w:rFonts w:hint="default" w:ascii="宋体" w:hAnsi="宋体" w:eastAsia="宋体" w:cs="宋体"/>
          <w:color w:val="FF0000"/>
          <w:sz w:val="24"/>
          <w:szCs w:val="24"/>
          <w:lang w:eastAsia="zh-CN"/>
        </w:rPr>
      </w:pPr>
      <w:r>
        <w:rPr>
          <w:rFonts w:ascii="宋体" w:hAnsi="宋体" w:eastAsia="宋体" w:cs="宋体"/>
          <w:color w:val="FF0000"/>
          <w:sz w:val="24"/>
          <w:szCs w:val="24"/>
          <w:lang w:eastAsia="zh-CN"/>
        </w:rPr>
        <w:t>供应商的报价是供应商响应磋商项目要求的全部工作内容的价格体现，包括供应商完成本项目所需的一切费用。</w:t>
      </w:r>
    </w:p>
    <w:p>
      <w:pPr>
        <w:widowControl/>
        <w:shd w:val="clear" w:color="auto" w:fill="FFFFFF"/>
        <w:spacing w:line="480" w:lineRule="auto"/>
        <w:ind w:firstLine="840"/>
        <w:rPr>
          <w:rFonts w:ascii="宋体" w:hAnsi="宋体" w:eastAsia="宋体" w:cs="宋体"/>
          <w:color w:val="FF0000"/>
          <w:kern w:val="0"/>
          <w:sz w:val="24"/>
          <w:szCs w:val="24"/>
        </w:rPr>
      </w:pPr>
    </w:p>
    <w:p>
      <w:pPr>
        <w:widowControl/>
        <w:shd w:val="clear" w:color="auto" w:fill="FFFFFF"/>
        <w:spacing w:line="480" w:lineRule="auto"/>
        <w:ind w:firstLine="840"/>
        <w:rPr>
          <w:rFonts w:ascii="宋体" w:hAnsi="宋体" w:eastAsia="宋体" w:cs="宋体"/>
          <w:color w:val="FF0000"/>
          <w:kern w:val="0"/>
          <w:sz w:val="24"/>
          <w:szCs w:val="24"/>
          <w:shd w:val="clear" w:color="auto" w:fill="FFFF00"/>
        </w:rPr>
      </w:pPr>
      <w:r>
        <w:rPr>
          <w:rFonts w:hint="eastAsia" w:ascii="宋体" w:hAnsi="宋体" w:eastAsia="宋体" w:cs="宋体"/>
          <w:color w:val="FF0000"/>
          <w:kern w:val="0"/>
          <w:sz w:val="24"/>
          <w:szCs w:val="24"/>
        </w:rPr>
        <w:t>1</w:t>
      </w:r>
      <w:r>
        <w:rPr>
          <w:rFonts w:ascii="宋体" w:hAnsi="宋体" w:eastAsia="宋体" w:cs="宋体"/>
          <w:color w:val="FF0000"/>
          <w:kern w:val="0"/>
          <w:sz w:val="24"/>
          <w:szCs w:val="24"/>
        </w:rPr>
        <w:t>1</w:t>
      </w:r>
      <w:r>
        <w:rPr>
          <w:rFonts w:hint="eastAsia" w:ascii="宋体" w:hAnsi="宋体" w:eastAsia="宋体" w:cs="宋体"/>
          <w:color w:val="FF0000"/>
          <w:kern w:val="0"/>
          <w:sz w:val="24"/>
          <w:szCs w:val="24"/>
        </w:rPr>
        <w:t>）违约责任与解决争议的方法：</w:t>
      </w:r>
    </w:p>
    <w:p>
      <w:pPr>
        <w:pStyle w:val="60"/>
        <w:spacing w:line="360" w:lineRule="auto"/>
        <w:rPr>
          <w:rFonts w:hint="default" w:ascii="宋体" w:hAnsi="宋体" w:eastAsia="宋体" w:cs="宋体"/>
          <w:color w:val="FF0000"/>
          <w:sz w:val="24"/>
          <w:szCs w:val="24"/>
          <w:lang w:eastAsia="zh-CN"/>
        </w:rPr>
      </w:pPr>
      <w:r>
        <w:rPr>
          <w:rFonts w:ascii="宋体" w:hAnsi="宋体" w:eastAsia="宋体" w:cs="宋体"/>
          <w:color w:val="FF0000"/>
          <w:sz w:val="24"/>
          <w:szCs w:val="24"/>
          <w:lang w:eastAsia="zh-CN"/>
        </w:rPr>
        <w:t>1．双方必须遵守合同并执行合同中的各项规定，保证本合同的正常履行。</w:t>
      </w:r>
    </w:p>
    <w:p>
      <w:pPr>
        <w:pStyle w:val="60"/>
        <w:spacing w:line="360" w:lineRule="auto"/>
        <w:rPr>
          <w:rFonts w:hint="default" w:ascii="宋体" w:hAnsi="宋体" w:eastAsia="宋体" w:cs="宋体"/>
          <w:color w:val="FF0000"/>
          <w:sz w:val="24"/>
          <w:szCs w:val="24"/>
          <w:lang w:eastAsia="zh-CN"/>
        </w:rPr>
      </w:pPr>
      <w:r>
        <w:rPr>
          <w:rFonts w:ascii="宋体" w:hAnsi="宋体" w:eastAsia="宋体" w:cs="宋体"/>
          <w:color w:val="FF0000"/>
          <w:sz w:val="24"/>
          <w:szCs w:val="24"/>
          <w:lang w:eastAsia="zh-CN"/>
        </w:rPr>
        <w:t>2．如因供应商工作人员在履行职务过程中的的疏忽、失职、过错等故意或者过失原因给采购方造成损失或侵害，包括但不限于采购方本身的财产损失、由此而导致的采购方对任何第三方的法律责任等，供应商对此均应承担全部的赔偿责任。解决争议：（1）在执行合同中发生的或与合同有关的争端，双方应通过友好协商解决，经协商在15天内不能达成协议时，应提交合同履行地人民法院诉讼解决。（2）人民法院裁决应为最终决定，并对双方具有约束力。（3）除另有裁决外，诉讼费应由败诉方负担。（4）在诉讼期间，除正在进行诉讼部分外，合同其他部分继续执行。</w:t>
      </w:r>
    </w:p>
    <w:p>
      <w:pPr>
        <w:widowControl/>
        <w:shd w:val="clear" w:color="auto" w:fill="FFFFFF"/>
        <w:spacing w:line="480" w:lineRule="auto"/>
        <w:ind w:firstLine="840"/>
        <w:rPr>
          <w:rFonts w:ascii="宋体" w:hAnsi="宋体" w:eastAsia="宋体" w:cs="宋体"/>
          <w:color w:val="FF0000"/>
          <w:kern w:val="0"/>
          <w:sz w:val="24"/>
          <w:szCs w:val="24"/>
        </w:rPr>
      </w:pPr>
    </w:p>
    <w:p>
      <w:pPr>
        <w:widowControl/>
        <w:shd w:val="clear" w:color="auto" w:fill="FFFFFF"/>
        <w:spacing w:line="480" w:lineRule="auto"/>
        <w:ind w:firstLine="840"/>
        <w:rPr>
          <w:rFonts w:ascii="宋体" w:hAnsi="宋体" w:eastAsia="宋体" w:cs="宋体"/>
          <w:color w:val="FF0000"/>
          <w:kern w:val="0"/>
          <w:sz w:val="24"/>
          <w:szCs w:val="24"/>
        </w:rPr>
      </w:pPr>
      <w:r>
        <w:rPr>
          <w:rFonts w:hint="eastAsia" w:ascii="宋体" w:hAnsi="宋体" w:eastAsia="宋体" w:cs="宋体"/>
          <w:color w:val="FF0000"/>
          <w:kern w:val="0"/>
          <w:sz w:val="24"/>
          <w:szCs w:val="24"/>
        </w:rPr>
        <w:t>1</w:t>
      </w:r>
      <w:r>
        <w:rPr>
          <w:rFonts w:ascii="宋体" w:hAnsi="宋体" w:eastAsia="宋体" w:cs="宋体"/>
          <w:color w:val="FF0000"/>
          <w:kern w:val="0"/>
          <w:sz w:val="24"/>
          <w:szCs w:val="24"/>
        </w:rPr>
        <w:t>2</w:t>
      </w:r>
      <w:r>
        <w:rPr>
          <w:rFonts w:hint="eastAsia" w:ascii="宋体" w:hAnsi="宋体" w:eastAsia="宋体" w:cs="宋体"/>
          <w:color w:val="FF0000"/>
          <w:kern w:val="0"/>
          <w:sz w:val="24"/>
          <w:szCs w:val="24"/>
        </w:rPr>
        <w:t>）合同其他条款：</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无</w:t>
      </w:r>
    </w:p>
    <w:p>
      <w:pPr>
        <w:widowControl/>
        <w:shd w:val="clear" w:color="auto" w:fill="FFFFFF"/>
        <w:spacing w:line="480" w:lineRule="auto"/>
        <w:ind w:firstLine="420"/>
        <w:rPr>
          <w:rFonts w:ascii="宋体" w:hAnsi="宋体" w:eastAsia="宋体" w:cs="宋体"/>
          <w:color w:val="FF0000"/>
          <w:kern w:val="0"/>
          <w:sz w:val="24"/>
          <w:szCs w:val="24"/>
        </w:rPr>
      </w:pPr>
      <w:r>
        <w:rPr>
          <w:rFonts w:hint="eastAsia" w:ascii="宋体" w:hAnsi="宋体" w:eastAsia="宋体" w:cs="宋体"/>
          <w:color w:val="FF0000"/>
          <w:kern w:val="0"/>
          <w:sz w:val="24"/>
          <w:szCs w:val="24"/>
        </w:rPr>
        <w:t>9、履约验收方案</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1）验收组织方式：</w:t>
      </w: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自行验收   □委托第三方验收</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2）是否邀请本项目的其他供应商：是□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r>
        <w:rPr>
          <w:rFonts w:hint="eastAsia" w:ascii="宋体" w:hAnsi="宋体" w:eastAsia="宋体" w:cs="宋体"/>
          <w:color w:val="333333"/>
          <w:kern w:val="0"/>
          <w:sz w:val="24"/>
          <w:szCs w:val="24"/>
        </w:rPr>
        <w:sym w:font="Wingdings 2" w:char="0052"/>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3）是否邀请专家：是□  否</w:t>
      </w:r>
      <w:r>
        <w:rPr>
          <w:rFonts w:hint="eastAsia" w:ascii="宋体" w:hAnsi="宋体" w:eastAsia="宋体" w:cs="宋体"/>
          <w:color w:val="333333"/>
          <w:kern w:val="0"/>
          <w:sz w:val="24"/>
          <w:szCs w:val="24"/>
        </w:rPr>
        <w:sym w:font="Wingdings 2" w:char="0052"/>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4）是否邀请服务对象：是</w:t>
      </w: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 xml:space="preserve">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5）是否邀请第三方检测机构：是□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r>
        <w:rPr>
          <w:rFonts w:hint="eastAsia" w:ascii="宋体" w:hAnsi="宋体" w:eastAsia="宋体" w:cs="宋体"/>
          <w:color w:val="333333"/>
          <w:kern w:val="0"/>
          <w:sz w:val="24"/>
          <w:szCs w:val="24"/>
        </w:rPr>
        <w:sym w:font="Wingdings 2" w:char="0052"/>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6）履约验收程序：</w:t>
      </w: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一次性验收   □分段/分期验收</w:t>
      </w:r>
    </w:p>
    <w:p>
      <w:pPr>
        <w:ind w:firstLine="840" w:firstLineChars="300"/>
        <w:rPr>
          <w:sz w:val="28"/>
        </w:rPr>
      </w:pPr>
      <w:r>
        <w:rPr>
          <w:rFonts w:hint="eastAsia"/>
          <w:sz w:val="28"/>
        </w:rPr>
        <w:t>7）履约验收时间：</w:t>
      </w:r>
    </w:p>
    <w:p>
      <w:pPr>
        <w:ind w:firstLine="700" w:firstLineChars="250"/>
        <w:rPr>
          <w:sz w:val="28"/>
        </w:rPr>
      </w:pPr>
      <w:r>
        <w:rPr>
          <w:rFonts w:hint="eastAsia"/>
          <w:sz w:val="28"/>
        </w:rPr>
        <w:t>□计划于</w:t>
      </w:r>
      <w:r>
        <w:rPr>
          <w:sz w:val="28"/>
        </w:rPr>
        <w:t xml:space="preserve">      </w:t>
      </w:r>
      <w:r>
        <w:rPr>
          <w:rFonts w:hint="eastAsia"/>
          <w:sz w:val="28"/>
        </w:rPr>
        <w:t>组织验收</w:t>
      </w:r>
    </w:p>
    <w:p>
      <w:pPr>
        <w:ind w:firstLine="700" w:firstLineChars="250"/>
        <w:rPr>
          <w:sz w:val="28"/>
        </w:rPr>
      </w:pPr>
      <w:r>
        <w:rPr>
          <w:rFonts w:hint="eastAsia"/>
          <w:sz w:val="28"/>
        </w:rPr>
        <w:sym w:font="Wingdings 2" w:char="0052"/>
      </w:r>
      <w:r>
        <w:rPr>
          <w:rFonts w:hint="eastAsia"/>
          <w:sz w:val="28"/>
        </w:rPr>
        <w:t>供应商提出验收申请之日起15日内组织验收</w:t>
      </w:r>
    </w:p>
    <w:p>
      <w:pPr>
        <w:widowControl/>
        <w:numPr>
          <w:ilvl w:val="0"/>
          <w:numId w:val="5"/>
        </w:numPr>
        <w:shd w:val="clear" w:color="auto" w:fill="FFFFFF"/>
        <w:spacing w:line="480" w:lineRule="auto"/>
        <w:ind w:firstLine="840"/>
        <w:rPr>
          <w:rFonts w:ascii="宋体" w:hAnsi="宋体" w:eastAsia="宋体" w:cs="宋体"/>
          <w:color w:val="0A82E5"/>
          <w:kern w:val="0"/>
          <w:sz w:val="24"/>
          <w:szCs w:val="24"/>
        </w:rPr>
      </w:pPr>
      <w:r>
        <w:rPr>
          <w:rFonts w:hint="eastAsia" w:ascii="宋体" w:hAnsi="宋体" w:eastAsia="宋体" w:cs="宋体"/>
          <w:color w:val="333333"/>
          <w:kern w:val="0"/>
          <w:sz w:val="24"/>
          <w:szCs w:val="24"/>
        </w:rPr>
        <w:t>验收组织的其他事项：</w:t>
      </w:r>
      <w:r>
        <w:rPr>
          <w:rFonts w:hint="eastAsia" w:ascii="宋体" w:hAnsi="宋体" w:eastAsia="宋体" w:cs="宋体"/>
          <w:color w:val="0A82E5"/>
          <w:kern w:val="0"/>
          <w:sz w:val="24"/>
          <w:szCs w:val="24"/>
        </w:rPr>
        <w:t xml:space="preserve"> </w:t>
      </w:r>
    </w:p>
    <w:p>
      <w:pPr>
        <w:widowControl/>
        <w:shd w:val="clear" w:color="auto" w:fill="FFFFFF"/>
        <w:spacing w:line="480" w:lineRule="auto"/>
        <w:ind w:firstLine="723" w:firstLineChars="300"/>
        <w:jc w:val="left"/>
        <w:rPr>
          <w:rFonts w:ascii="宋体" w:hAnsi="宋体" w:eastAsia="宋体" w:cs="宋体"/>
          <w:b/>
          <w:bCs/>
          <w:kern w:val="0"/>
          <w:sz w:val="24"/>
          <w:szCs w:val="24"/>
        </w:rPr>
      </w:pPr>
      <w:r>
        <w:rPr>
          <w:rFonts w:hint="eastAsia" w:ascii="宋体" w:hAnsi="宋体" w:eastAsia="宋体" w:cs="宋体"/>
          <w:b/>
          <w:bCs/>
          <w:kern w:val="0"/>
          <w:sz w:val="24"/>
          <w:szCs w:val="24"/>
        </w:rPr>
        <w:t>无</w:t>
      </w:r>
    </w:p>
    <w:p>
      <w:pPr>
        <w:widowControl/>
        <w:shd w:val="clear" w:color="auto" w:fill="FFFFFF"/>
        <w:spacing w:line="480" w:lineRule="auto"/>
        <w:ind w:firstLine="840"/>
        <w:rPr>
          <w:rFonts w:ascii="宋体" w:hAnsi="宋体" w:eastAsia="宋体" w:cs="宋体"/>
          <w:color w:val="333333"/>
          <w:kern w:val="0"/>
          <w:sz w:val="24"/>
          <w:szCs w:val="24"/>
        </w:rPr>
      </w:pPr>
      <w:r>
        <w:rPr>
          <w:rFonts w:ascii="宋体" w:hAnsi="宋体" w:eastAsia="宋体" w:cs="宋体"/>
          <w:color w:val="333333"/>
          <w:kern w:val="0"/>
          <w:sz w:val="24"/>
          <w:szCs w:val="24"/>
        </w:rPr>
        <w:t>9</w:t>
      </w:r>
      <w:r>
        <w:rPr>
          <w:rFonts w:hint="eastAsia" w:ascii="宋体" w:hAnsi="宋体" w:eastAsia="宋体" w:cs="宋体"/>
          <w:color w:val="333333"/>
          <w:kern w:val="0"/>
          <w:sz w:val="24"/>
          <w:szCs w:val="24"/>
        </w:rPr>
        <w:t>）技术履约验收内容：</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详见技术要求。</w:t>
      </w:r>
    </w:p>
    <w:p>
      <w:pPr>
        <w:widowControl/>
        <w:shd w:val="clear" w:color="auto" w:fill="FFFFFF"/>
        <w:spacing w:line="480" w:lineRule="auto"/>
        <w:ind w:firstLine="840"/>
        <w:rPr>
          <w:rFonts w:ascii="宋体" w:hAnsi="宋体" w:eastAsia="宋体" w:cs="宋体"/>
          <w:color w:val="0A82E5"/>
          <w:kern w:val="0"/>
          <w:sz w:val="24"/>
          <w:szCs w:val="24"/>
          <w:shd w:val="clear" w:color="auto" w:fill="FFFF00"/>
        </w:rPr>
      </w:pPr>
      <w:r>
        <w:rPr>
          <w:rFonts w:hint="eastAsia" w:ascii="宋体" w:hAnsi="宋体" w:eastAsia="宋体" w:cs="宋体"/>
          <w:color w:val="333333"/>
          <w:kern w:val="0"/>
          <w:sz w:val="24"/>
          <w:szCs w:val="24"/>
        </w:rPr>
        <w:t>10）履约验收标准：</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详见技术要求。</w:t>
      </w:r>
    </w:p>
    <w:p>
      <w:pPr>
        <w:widowControl/>
        <w:shd w:val="clear" w:color="auto" w:fill="FFFFFF"/>
        <w:spacing w:line="480" w:lineRule="auto"/>
        <w:outlineLvl w:val="2"/>
        <w:rPr>
          <w:rFonts w:ascii="宋体" w:hAnsi="宋体" w:eastAsia="宋体" w:cs="宋体"/>
          <w:b/>
          <w:bCs/>
          <w:color w:val="333333"/>
          <w:kern w:val="0"/>
          <w:sz w:val="27"/>
          <w:szCs w:val="27"/>
        </w:rPr>
      </w:pPr>
      <w:r>
        <w:rPr>
          <w:rFonts w:hint="eastAsia" w:ascii="宋体" w:hAnsi="宋体" w:eastAsia="宋体" w:cs="宋体"/>
          <w:b/>
          <w:bCs/>
          <w:color w:val="333333"/>
          <w:kern w:val="0"/>
          <w:sz w:val="27"/>
          <w:szCs w:val="27"/>
        </w:rPr>
        <w:t>五、风险控制措施和替代方案</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该采购项目按照《政府采购需求管理办法》第二十五条规定，本项目是否需要组织风险判断、提出处置措施和替代方案：是□（填以下</w:t>
      </w:r>
      <w:r>
        <w:rPr>
          <w:rFonts w:ascii="宋体" w:hAnsi="宋体" w:eastAsia="宋体" w:cs="宋体"/>
          <w:color w:val="333333"/>
          <w:kern w:val="0"/>
          <w:sz w:val="24"/>
          <w:szCs w:val="24"/>
        </w:rPr>
        <w:t>信息</w:t>
      </w:r>
      <w:r>
        <w:rPr>
          <w:rFonts w:hint="eastAsia" w:ascii="宋体" w:hAnsi="宋体" w:eastAsia="宋体" w:cs="宋体"/>
          <w:color w:val="333333"/>
          <w:kern w:val="0"/>
          <w:sz w:val="24"/>
          <w:szCs w:val="24"/>
        </w:rPr>
        <w:t xml:space="preserve">）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r>
        <w:rPr>
          <w:rFonts w:hint="eastAsia" w:ascii="宋体" w:hAnsi="宋体" w:eastAsia="宋体" w:cs="宋体"/>
          <w:color w:val="333333"/>
          <w:kern w:val="0"/>
          <w:sz w:val="24"/>
          <w:szCs w:val="24"/>
        </w:rPr>
        <w:sym w:font="Wingdings 2" w:char="0052"/>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1）国家政策变化风险的应对措施：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2）实施环境变化风险的应对措施：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3）重大技术变化风险的应对措施：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4）预算项目调整风险的应对措施：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5）因质疑投诉影响采购进度风险的应对措施：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6）采购失败风险的应对措施：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7）不按规定签订或者履行合同风险的应对措施：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8）出现损害国家利益和社会公共利益情形风险的应对措施：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9）其他采购和合同履行过程的风险及应对措施：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项目负责人（签字）：</w:t>
      </w: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项目单位负责人（签字）：</w:t>
      </w: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经费主管部门负责人（签字）：　　　　　　　　　　　</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6000" w:firstLineChars="250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　年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 xml:space="preserve"> 月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 xml:space="preserve"> 日</w:t>
      </w:r>
    </w:p>
    <w:p/>
    <w:p>
      <w:pPr>
        <w:rPr>
          <w:sz w:val="28"/>
        </w:rPr>
      </w:pPr>
      <w:r>
        <w:rPr>
          <w:rFonts w:hint="eastAsia"/>
          <w:sz w:val="28"/>
        </w:rPr>
        <w:t>注意事项</w:t>
      </w:r>
      <w:r>
        <w:rPr>
          <w:sz w:val="28"/>
        </w:rPr>
        <w:t>：</w:t>
      </w:r>
    </w:p>
    <w:p>
      <w:pPr>
        <w:rPr>
          <w:sz w:val="28"/>
        </w:rPr>
      </w:pPr>
      <w:r>
        <w:rPr>
          <w:rFonts w:hint="eastAsia"/>
          <w:sz w:val="28"/>
        </w:rPr>
        <w:t>1.采购项目预算大于50万元（含50万元）需提供采购单位确定需求的部（处）会议纪要或学院党政联席会议纪要。</w:t>
      </w:r>
    </w:p>
    <w:p>
      <w:pPr>
        <w:rPr>
          <w:sz w:val="28"/>
        </w:rPr>
      </w:pPr>
      <w:r>
        <w:rPr>
          <w:rFonts w:hint="eastAsia"/>
          <w:sz w:val="28"/>
        </w:rPr>
        <w:t>2.各单位政府采购</w:t>
      </w:r>
      <w:r>
        <w:rPr>
          <w:sz w:val="28"/>
        </w:rPr>
        <w:t>项目</w:t>
      </w:r>
      <w:r>
        <w:rPr>
          <w:rFonts w:hint="eastAsia"/>
          <w:sz w:val="28"/>
        </w:rPr>
        <w:t>的采购</w:t>
      </w:r>
      <w:r>
        <w:rPr>
          <w:sz w:val="28"/>
        </w:rPr>
        <w:t>需求</w:t>
      </w:r>
      <w:r>
        <w:rPr>
          <w:rFonts w:hint="eastAsia"/>
          <w:sz w:val="28"/>
        </w:rPr>
        <w:t>在部门（学院）</w:t>
      </w:r>
      <w:r>
        <w:rPr>
          <w:sz w:val="28"/>
        </w:rPr>
        <w:t>网站</w:t>
      </w:r>
      <w:r>
        <w:rPr>
          <w:rFonts w:hint="eastAsia"/>
          <w:sz w:val="28"/>
        </w:rPr>
        <w:t>首页公示不少于3天。公示</w:t>
      </w:r>
      <w:r>
        <w:rPr>
          <w:sz w:val="28"/>
        </w:rPr>
        <w:t>期结束后</w:t>
      </w:r>
      <w:r>
        <w:rPr>
          <w:rFonts w:hint="eastAsia"/>
          <w:sz w:val="28"/>
        </w:rPr>
        <w:t>将</w:t>
      </w:r>
      <w:r>
        <w:rPr>
          <w:sz w:val="28"/>
        </w:rPr>
        <w:t>公</w:t>
      </w:r>
      <w:r>
        <w:rPr>
          <w:rFonts w:hint="eastAsia"/>
          <w:sz w:val="28"/>
        </w:rPr>
        <w:t>示</w:t>
      </w:r>
      <w:r>
        <w:rPr>
          <w:sz w:val="28"/>
        </w:rPr>
        <w:t>截图</w:t>
      </w:r>
      <w:r>
        <w:rPr>
          <w:rFonts w:hint="eastAsia"/>
          <w:sz w:val="28"/>
        </w:rPr>
        <w:t>打印</w:t>
      </w:r>
      <w:r>
        <w:rPr>
          <w:sz w:val="28"/>
        </w:rPr>
        <w:t>交国有资产与实验室管理处（</w:t>
      </w:r>
      <w:r>
        <w:rPr>
          <w:rFonts w:hint="eastAsia"/>
          <w:sz w:val="28"/>
        </w:rPr>
        <w:t>招投标</w:t>
      </w:r>
      <w:r>
        <w:rPr>
          <w:sz w:val="28"/>
        </w:rPr>
        <w:t>中心）</w:t>
      </w:r>
      <w:r>
        <w:rPr>
          <w:rFonts w:hint="eastAsia"/>
          <w:sz w:val="28"/>
        </w:rPr>
        <w:t>，</w:t>
      </w:r>
      <w:r>
        <w:rPr>
          <w:sz w:val="28"/>
        </w:rPr>
        <w:t>并</w:t>
      </w:r>
      <w:r>
        <w:rPr>
          <w:rFonts w:hint="eastAsia"/>
          <w:sz w:val="28"/>
        </w:rPr>
        <w:t>标</w:t>
      </w:r>
      <w:r>
        <w:rPr>
          <w:sz w:val="28"/>
        </w:rPr>
        <w:t>明公示期是否有异议</w:t>
      </w:r>
      <w:r>
        <w:rPr>
          <w:rFonts w:hint="eastAsia"/>
          <w:sz w:val="28"/>
        </w:rPr>
        <w:t>。</w:t>
      </w: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刘雪梅" w:date="2023-08-11T09:29:00Z" w:initials="">
    <w:p w14:paraId="059F4F48">
      <w:pPr>
        <w:pStyle w:val="7"/>
      </w:pPr>
      <w:r>
        <w:rPr>
          <w:rFonts w:hint="eastAsia"/>
        </w:rPr>
        <w:t>全是技术性参数，我们的项目除了2个视频，还有系列服务，包括培训（已经开展）、1对1指导修改课程大纲和教学典型案例，但是这里没有写，看起来只是一个视频拍摄，这样可能会引起其他竞争者的加入。我们的需求没有写完整，低于实际沟通的内容。</w:t>
      </w:r>
    </w:p>
    <w:p w14:paraId="22C83A91">
      <w:pPr>
        <w:pStyle w:val="7"/>
      </w:pPr>
      <w:r>
        <w:rPr>
          <w:rFonts w:hint="eastAsia"/>
        </w:rPr>
        <w:t>后面评分指标都有培训的相应提法，请在这里也做对应补充？</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C83A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A184A1"/>
    <w:multiLevelType w:val="singleLevel"/>
    <w:tmpl w:val="A6A184A1"/>
    <w:lvl w:ilvl="0" w:tentative="0">
      <w:start w:val="1"/>
      <w:numFmt w:val="decimal"/>
      <w:lvlText w:val="%1."/>
      <w:lvlJc w:val="left"/>
      <w:pPr>
        <w:tabs>
          <w:tab w:val="left" w:pos="312"/>
        </w:tabs>
      </w:pPr>
    </w:lvl>
  </w:abstractNum>
  <w:abstractNum w:abstractNumId="1">
    <w:nsid w:val="BBAE610A"/>
    <w:multiLevelType w:val="singleLevel"/>
    <w:tmpl w:val="BBAE610A"/>
    <w:lvl w:ilvl="0" w:tentative="0">
      <w:start w:val="8"/>
      <w:numFmt w:val="decimal"/>
      <w:suff w:val="nothing"/>
      <w:lvlText w:val="%1）"/>
      <w:lvlJc w:val="left"/>
    </w:lvl>
  </w:abstractNum>
  <w:abstractNum w:abstractNumId="2">
    <w:nsid w:val="DC3B94B7"/>
    <w:multiLevelType w:val="singleLevel"/>
    <w:tmpl w:val="DC3B94B7"/>
    <w:lvl w:ilvl="0" w:tentative="0">
      <w:start w:val="1"/>
      <w:numFmt w:val="decimal"/>
      <w:lvlText w:val="%1."/>
      <w:lvlJc w:val="left"/>
      <w:pPr>
        <w:tabs>
          <w:tab w:val="left" w:pos="312"/>
        </w:tabs>
      </w:pPr>
    </w:lvl>
  </w:abstractNum>
  <w:abstractNum w:abstractNumId="3">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default" w:ascii="宋体" w:hAnsi="宋体" w:eastAsia="宋体" w:cs="宋体"/>
        <w:b w:val="0"/>
        <w:bCs w:val="0"/>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pStyle w:val="61"/>
      <w:suff w:val="nothing"/>
      <w:lvlText w:val="(%5)"/>
      <w:lvlJc w:val="left"/>
      <w:pPr>
        <w:ind w:left="0" w:firstLine="0"/>
      </w:pPr>
      <w:rPr>
        <w:rFonts w:hint="default" w:ascii="宋体" w:hAnsi="宋体" w:eastAsia="宋体" w:cs="宋体"/>
        <w:b w:val="0"/>
        <w:bCs w:val="0"/>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01DEC609"/>
    <w:multiLevelType w:val="singleLevel"/>
    <w:tmpl w:val="01DEC609"/>
    <w:lvl w:ilvl="0" w:tentative="0">
      <w:start w:val="5"/>
      <w:numFmt w:val="chineseCounting"/>
      <w:suff w:val="nothing"/>
      <w:lvlText w:val="（%1）"/>
      <w:lvlJc w:val="left"/>
      <w:rPr>
        <w:rFonts w:hint="eastAsia"/>
      </w:rPr>
    </w:lvl>
  </w:abstractNum>
  <w:num w:numId="1">
    <w:abstractNumId w:val="3"/>
  </w:num>
  <w:num w:numId="2">
    <w:abstractNumId w:val="4"/>
  </w:num>
  <w:num w:numId="3">
    <w:abstractNumId w:val="2"/>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雪梅">
    <w15:presenceInfo w15:providerId="None" w15:userId="刘雪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0000000"/>
    <w:rsid w:val="033C49A3"/>
    <w:rsid w:val="0D9773A6"/>
    <w:rsid w:val="12211934"/>
    <w:rsid w:val="1A8145E0"/>
    <w:rsid w:val="2B5D3585"/>
    <w:rsid w:val="3CD4741F"/>
    <w:rsid w:val="4A802994"/>
    <w:rsid w:val="574801A4"/>
    <w:rsid w:val="5E5A34CE"/>
    <w:rsid w:val="5EE96241"/>
    <w:rsid w:val="65BD4645"/>
    <w:rsid w:val="68A11FFC"/>
    <w:rsid w:val="6A0740E0"/>
    <w:rsid w:val="6A6B0B13"/>
    <w:rsid w:val="71777D9E"/>
    <w:rsid w:val="748C3B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3"/>
    <w:basedOn w:val="1"/>
    <w:next w:val="1"/>
    <w:link w:val="2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6">
    <w:name w:val="heading 5"/>
    <w:basedOn w:val="1"/>
    <w:next w:val="1"/>
    <w:link w:val="21"/>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jc w:val="center"/>
    </w:pPr>
    <w:rPr>
      <w:rFonts w:eastAsia="黑体"/>
      <w:sz w:val="44"/>
      <w:szCs w:val="21"/>
    </w:rPr>
  </w:style>
  <w:style w:type="paragraph" w:styleId="3">
    <w:name w:val="Plain Text"/>
    <w:basedOn w:val="1"/>
    <w:qFormat/>
    <w:uiPriority w:val="0"/>
    <w:pPr>
      <w:autoSpaceDE w:val="0"/>
      <w:autoSpaceDN w:val="0"/>
      <w:adjustRightInd w:val="0"/>
    </w:pPr>
    <w:rPr>
      <w:rFonts w:ascii="宋体" w:hAnsi="Tms Rmn"/>
      <w:kern w:val="0"/>
      <w:szCs w:val="20"/>
    </w:rPr>
  </w:style>
  <w:style w:type="paragraph" w:styleId="7">
    <w:name w:val="annotation text"/>
    <w:basedOn w:val="1"/>
    <w:link w:val="62"/>
    <w:unhideWhenUsed/>
    <w:qFormat/>
    <w:uiPriority w:val="99"/>
    <w:pPr>
      <w:jc w:val="left"/>
    </w:pPr>
  </w:style>
  <w:style w:type="paragraph" w:styleId="8">
    <w:name w:val="Balloon Text"/>
    <w:basedOn w:val="1"/>
    <w:link w:val="64"/>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7"/>
    <w:next w:val="7"/>
    <w:link w:val="63"/>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annotation reference"/>
    <w:basedOn w:val="15"/>
    <w:unhideWhenUsed/>
    <w:qFormat/>
    <w:uiPriority w:val="99"/>
    <w:rPr>
      <w:sz w:val="21"/>
      <w:szCs w:val="21"/>
    </w:rPr>
  </w:style>
  <w:style w:type="character" w:customStyle="1" w:styleId="17">
    <w:name w:val="页眉 Char"/>
    <w:basedOn w:val="15"/>
    <w:link w:val="10"/>
    <w:qFormat/>
    <w:uiPriority w:val="99"/>
    <w:rPr>
      <w:sz w:val="18"/>
      <w:szCs w:val="18"/>
    </w:rPr>
  </w:style>
  <w:style w:type="character" w:customStyle="1" w:styleId="18">
    <w:name w:val="页脚 Char"/>
    <w:basedOn w:val="15"/>
    <w:link w:val="9"/>
    <w:qFormat/>
    <w:uiPriority w:val="99"/>
    <w:rPr>
      <w:sz w:val="18"/>
      <w:szCs w:val="18"/>
    </w:rPr>
  </w:style>
  <w:style w:type="character" w:customStyle="1" w:styleId="19">
    <w:name w:val="标题 1 Char"/>
    <w:basedOn w:val="15"/>
    <w:link w:val="4"/>
    <w:qFormat/>
    <w:uiPriority w:val="9"/>
    <w:rPr>
      <w:rFonts w:ascii="宋体" w:hAnsi="宋体" w:eastAsia="宋体" w:cs="宋体"/>
      <w:b/>
      <w:bCs/>
      <w:kern w:val="36"/>
      <w:sz w:val="48"/>
      <w:szCs w:val="48"/>
    </w:rPr>
  </w:style>
  <w:style w:type="character" w:customStyle="1" w:styleId="20">
    <w:name w:val="标题 3 Char"/>
    <w:basedOn w:val="15"/>
    <w:link w:val="5"/>
    <w:qFormat/>
    <w:uiPriority w:val="9"/>
    <w:rPr>
      <w:rFonts w:ascii="宋体" w:hAnsi="宋体" w:eastAsia="宋体" w:cs="宋体"/>
      <w:b/>
      <w:bCs/>
      <w:kern w:val="0"/>
      <w:sz w:val="27"/>
      <w:szCs w:val="27"/>
    </w:rPr>
  </w:style>
  <w:style w:type="character" w:customStyle="1" w:styleId="21">
    <w:name w:val="标题 5 Char"/>
    <w:basedOn w:val="15"/>
    <w:link w:val="6"/>
    <w:qFormat/>
    <w:uiPriority w:val="9"/>
    <w:rPr>
      <w:rFonts w:ascii="宋体" w:hAnsi="宋体" w:eastAsia="宋体" w:cs="宋体"/>
      <w:b/>
      <w:bCs/>
      <w:kern w:val="0"/>
      <w:sz w:val="20"/>
      <w:szCs w:val="20"/>
    </w:rPr>
  </w:style>
  <w:style w:type="character" w:customStyle="1" w:styleId="22">
    <w:name w:val="population-ceilingprice"/>
    <w:basedOn w:val="15"/>
    <w:qFormat/>
    <w:uiPriority w:val="0"/>
  </w:style>
  <w:style w:type="character" w:customStyle="1" w:styleId="23">
    <w:name w:val="population-projectoverview"/>
    <w:basedOn w:val="15"/>
    <w:qFormat/>
    <w:uiPriority w:val="0"/>
  </w:style>
  <w:style w:type="character" w:customStyle="1" w:styleId="24">
    <w:name w:val="population-hassupplier"/>
    <w:basedOn w:val="15"/>
    <w:qFormat/>
    <w:uiPriority w:val="0"/>
  </w:style>
  <w:style w:type="character" w:customStyle="1" w:styleId="25">
    <w:name w:val="investigation-researchstatus"/>
    <w:basedOn w:val="15"/>
    <w:qFormat/>
    <w:uiPriority w:val="0"/>
  </w:style>
  <w:style w:type="character" w:customStyle="1" w:styleId="26">
    <w:name w:val="implementation-kind"/>
    <w:basedOn w:val="15"/>
    <w:qFormat/>
    <w:uiPriority w:val="0"/>
  </w:style>
  <w:style w:type="character" w:customStyle="1" w:styleId="27">
    <w:name w:val="implementation-purmethod"/>
    <w:basedOn w:val="15"/>
    <w:qFormat/>
    <w:uiPriority w:val="0"/>
  </w:style>
  <w:style w:type="character" w:customStyle="1" w:styleId="28">
    <w:name w:val="implementation-subcontracttotal"/>
    <w:basedOn w:val="15"/>
    <w:qFormat/>
    <w:uiPriority w:val="0"/>
  </w:style>
  <w:style w:type="character" w:customStyle="1" w:styleId="29">
    <w:name w:val="implementation-reservestatus"/>
    <w:basedOn w:val="15"/>
    <w:qFormat/>
    <w:uiPriority w:val="0"/>
  </w:style>
  <w:style w:type="character" w:customStyle="1" w:styleId="30">
    <w:name w:val="implementation-govservice"/>
    <w:basedOn w:val="15"/>
    <w:qFormat/>
    <w:uiPriority w:val="0"/>
  </w:style>
  <w:style w:type="character" w:customStyle="1" w:styleId="31">
    <w:name w:val="implementation-govinfomationstatus"/>
    <w:basedOn w:val="15"/>
    <w:qFormat/>
    <w:uiPriority w:val="0"/>
  </w:style>
  <w:style w:type="character" w:customStyle="1" w:styleId="32">
    <w:name w:val="implementation-sciencestatus"/>
    <w:basedOn w:val="15"/>
    <w:qFormat/>
    <w:uiPriority w:val="0"/>
  </w:style>
  <w:style w:type="character" w:customStyle="1" w:styleId="33">
    <w:name w:val="implementation-pppstatus"/>
    <w:basedOn w:val="15"/>
    <w:qFormat/>
    <w:uiPriority w:val="0"/>
  </w:style>
  <w:style w:type="character" w:customStyle="1" w:styleId="34">
    <w:name w:val="subcontract-legalcontracttype"/>
    <w:basedOn w:val="15"/>
    <w:qFormat/>
    <w:uiPriority w:val="0"/>
  </w:style>
  <w:style w:type="character" w:customStyle="1" w:styleId="35">
    <w:name w:val="subcontract-performperiod"/>
    <w:basedOn w:val="15"/>
    <w:qFormat/>
    <w:uiPriority w:val="0"/>
  </w:style>
  <w:style w:type="character" w:customStyle="1" w:styleId="36">
    <w:name w:val="subcontract-performaddress"/>
    <w:basedOn w:val="15"/>
    <w:qFormat/>
    <w:uiPriority w:val="0"/>
  </w:style>
  <w:style w:type="character" w:customStyle="1" w:styleId="37">
    <w:name w:val="subcontract-contractpaytype"/>
    <w:basedOn w:val="15"/>
    <w:qFormat/>
    <w:uiPriority w:val="0"/>
  </w:style>
  <w:style w:type="character" w:customStyle="1" w:styleId="38">
    <w:name w:val="subcontract-deliverystandard"/>
    <w:basedOn w:val="15"/>
    <w:qFormat/>
    <w:uiPriority w:val="0"/>
  </w:style>
  <w:style w:type="character" w:customStyle="1" w:styleId="39">
    <w:name w:val="subcontract-maintenance"/>
    <w:basedOn w:val="15"/>
    <w:qFormat/>
    <w:uiPriority w:val="0"/>
  </w:style>
  <w:style w:type="character" w:customStyle="1" w:styleId="40">
    <w:name w:val="subcontract-intellectualproperty"/>
    <w:basedOn w:val="15"/>
    <w:qFormat/>
    <w:uiPriority w:val="0"/>
  </w:style>
  <w:style w:type="character" w:customStyle="1" w:styleId="41">
    <w:name w:val="subcontract-risksharing"/>
    <w:basedOn w:val="15"/>
    <w:qFormat/>
    <w:uiPriority w:val="0"/>
  </w:style>
  <w:style w:type="character" w:customStyle="1" w:styleId="42">
    <w:name w:val="subcontract-disputeresolution"/>
    <w:basedOn w:val="15"/>
    <w:qFormat/>
    <w:uiPriority w:val="0"/>
  </w:style>
  <w:style w:type="character" w:customStyle="1" w:styleId="43">
    <w:name w:val="subcontract-otherterms"/>
    <w:basedOn w:val="15"/>
    <w:qFormat/>
    <w:uiPriority w:val="0"/>
  </w:style>
  <w:style w:type="character" w:customStyle="1" w:styleId="44">
    <w:name w:val="subcontract-acceptancetype"/>
    <w:basedOn w:val="15"/>
    <w:qFormat/>
    <w:uiPriority w:val="0"/>
  </w:style>
  <w:style w:type="character" w:customStyle="1" w:styleId="45">
    <w:name w:val="subcontract-invitesupplierstatus"/>
    <w:basedOn w:val="15"/>
    <w:qFormat/>
    <w:uiPriority w:val="0"/>
  </w:style>
  <w:style w:type="character" w:customStyle="1" w:styleId="46">
    <w:name w:val="subcontract-inviteexpertstatus"/>
    <w:basedOn w:val="15"/>
    <w:qFormat/>
    <w:uiPriority w:val="0"/>
  </w:style>
  <w:style w:type="character" w:customStyle="1" w:styleId="47">
    <w:name w:val="subcontract-inviteserviceobjectstatus"/>
    <w:basedOn w:val="15"/>
    <w:qFormat/>
    <w:uiPriority w:val="0"/>
  </w:style>
  <w:style w:type="character" w:customStyle="1" w:styleId="48">
    <w:name w:val="subcontract-professionaldetectionstatus"/>
    <w:basedOn w:val="15"/>
    <w:qFormat/>
    <w:uiPriority w:val="0"/>
  </w:style>
  <w:style w:type="character" w:customStyle="1" w:styleId="49">
    <w:name w:val="subcontract-acceptanceprocesstype"/>
    <w:basedOn w:val="15"/>
    <w:qFormat/>
    <w:uiPriority w:val="0"/>
  </w:style>
  <w:style w:type="character" w:customStyle="1" w:styleId="50">
    <w:name w:val="subcontract-acceptancemethod"/>
    <w:basedOn w:val="15"/>
    <w:qFormat/>
    <w:uiPriority w:val="0"/>
  </w:style>
  <w:style w:type="character" w:customStyle="1" w:styleId="51">
    <w:name w:val="subcontract-otherpreparations"/>
    <w:basedOn w:val="15"/>
    <w:qFormat/>
    <w:uiPriority w:val="0"/>
  </w:style>
  <w:style w:type="character" w:customStyle="1" w:styleId="52">
    <w:name w:val="subcontract-goodscontent"/>
    <w:basedOn w:val="15"/>
    <w:qFormat/>
    <w:uiPriority w:val="0"/>
  </w:style>
  <w:style w:type="character" w:customStyle="1" w:styleId="53">
    <w:name w:val="subcontract-businesscontent"/>
    <w:basedOn w:val="15"/>
    <w:qFormat/>
    <w:uiPriority w:val="0"/>
  </w:style>
  <w:style w:type="character" w:customStyle="1" w:styleId="54">
    <w:name w:val="subcontract-acceptancecriteria"/>
    <w:basedOn w:val="15"/>
    <w:qFormat/>
    <w:uiPriority w:val="0"/>
  </w:style>
  <w:style w:type="character" w:customStyle="1" w:styleId="55">
    <w:name w:val="subcontract-othercontent"/>
    <w:basedOn w:val="15"/>
    <w:qFormat/>
    <w:uiPriority w:val="0"/>
  </w:style>
  <w:style w:type="character" w:customStyle="1" w:styleId="56">
    <w:name w:val="risk-riskresponse"/>
    <w:basedOn w:val="15"/>
    <w:qFormat/>
    <w:uiPriority w:val="0"/>
  </w:style>
  <w:style w:type="paragraph" w:customStyle="1" w:styleId="57">
    <w:name w:val="List Paragraph"/>
    <w:basedOn w:val="1"/>
    <w:qFormat/>
    <w:uiPriority w:val="34"/>
    <w:pPr>
      <w:ind w:firstLine="420" w:firstLineChars="200"/>
    </w:pPr>
  </w:style>
  <w:style w:type="character" w:customStyle="1" w:styleId="58">
    <w:name w:val="font11"/>
    <w:basedOn w:val="15"/>
    <w:qFormat/>
    <w:uiPriority w:val="0"/>
    <w:rPr>
      <w:rFonts w:hint="eastAsia" w:ascii="宋体" w:hAnsi="宋体" w:eastAsia="宋体" w:cs="宋体"/>
      <w:b/>
      <w:bCs/>
      <w:color w:val="333333"/>
      <w:sz w:val="24"/>
      <w:szCs w:val="24"/>
      <w:u w:val="none"/>
    </w:rPr>
  </w:style>
  <w:style w:type="character" w:customStyle="1" w:styleId="59">
    <w:name w:val="font01"/>
    <w:basedOn w:val="15"/>
    <w:qFormat/>
    <w:uiPriority w:val="0"/>
    <w:rPr>
      <w:rFonts w:hint="eastAsia" w:ascii="宋体" w:hAnsi="宋体" w:eastAsia="宋体" w:cs="宋体"/>
      <w:color w:val="000000"/>
      <w:sz w:val="24"/>
      <w:szCs w:val="24"/>
      <w:u w:val="none"/>
    </w:rPr>
  </w:style>
  <w:style w:type="paragraph" w:customStyle="1" w:styleId="60">
    <w:name w:val="null3"/>
    <w:hidden/>
    <w:qFormat/>
    <w:uiPriority w:val="0"/>
    <w:rPr>
      <w:rFonts w:hint="eastAsia" w:asciiTheme="minorHAnsi" w:hAnsiTheme="minorHAnsi" w:eastAsiaTheme="minorEastAsia" w:cstheme="minorBidi"/>
      <w:lang w:val="en-US" w:eastAsia="zh-Hans" w:bidi="ar-SA"/>
    </w:rPr>
  </w:style>
  <w:style w:type="paragraph" w:customStyle="1" w:styleId="61">
    <w:name w:val="08、“(1)”正文六级标题"/>
    <w:basedOn w:val="1"/>
    <w:qFormat/>
    <w:uiPriority w:val="0"/>
    <w:pPr>
      <w:numPr>
        <w:ilvl w:val="4"/>
        <w:numId w:val="1"/>
      </w:numPr>
      <w:tabs>
        <w:tab w:val="left" w:pos="0"/>
      </w:tabs>
      <w:spacing w:line="520" w:lineRule="exact"/>
      <w:ind w:firstLine="803" w:firstLineChars="200"/>
    </w:pPr>
    <w:rPr>
      <w:snapToGrid w:val="0"/>
    </w:rPr>
  </w:style>
  <w:style w:type="character" w:customStyle="1" w:styleId="62">
    <w:name w:val="批注文字 Char"/>
    <w:basedOn w:val="15"/>
    <w:link w:val="7"/>
    <w:semiHidden/>
    <w:qFormat/>
    <w:uiPriority w:val="99"/>
    <w:rPr>
      <w:rFonts w:asciiTheme="minorHAnsi" w:hAnsiTheme="minorHAnsi" w:eastAsiaTheme="minorEastAsia" w:cstheme="minorBidi"/>
      <w:kern w:val="2"/>
      <w:sz w:val="21"/>
      <w:szCs w:val="22"/>
    </w:rPr>
  </w:style>
  <w:style w:type="character" w:customStyle="1" w:styleId="63">
    <w:name w:val="批注主题 Char"/>
    <w:basedOn w:val="62"/>
    <w:link w:val="12"/>
    <w:semiHidden/>
    <w:qFormat/>
    <w:uiPriority w:val="99"/>
    <w:rPr>
      <w:rFonts w:asciiTheme="minorHAnsi" w:hAnsiTheme="minorHAnsi" w:eastAsiaTheme="minorEastAsia" w:cstheme="minorBidi"/>
      <w:b/>
      <w:bCs/>
      <w:kern w:val="2"/>
      <w:sz w:val="21"/>
      <w:szCs w:val="22"/>
    </w:rPr>
  </w:style>
  <w:style w:type="character" w:customStyle="1" w:styleId="64">
    <w:name w:val="批注框文本 Char"/>
    <w:basedOn w:val="15"/>
    <w:link w:val="8"/>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2022</Words>
  <Characters>11530</Characters>
  <Lines>96</Lines>
  <Paragraphs>27</Paragraphs>
  <TotalTime>29</TotalTime>
  <ScaleCrop>false</ScaleCrop>
  <LinksUpToDate>false</LinksUpToDate>
  <CharactersWithSpaces>13525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2023-08-11T09:29:00Z</dcterms:created>
  <dc:creator>张灵峻</dc:creator>
  <cp:lastModifiedBy>1坚实的十多个房间号</cp:lastModifiedBy>
  <dcterms:modified xsi:type="dcterms:W3CDTF">2023-08-12T04:05:54Z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33D94C5CF1BE4B37AC397B106312C43E_13</vt:lpwstr>
  </property>
</Properties>
</file>