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第二批国家</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（社会实践课程）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600" w:lineRule="exact"/>
        <w:ind w:right="28" w:firstLine="1280" w:firstLineChars="400"/>
        <w:rPr>
          <w:rFonts w:hint="eastAsia" w:ascii="黑体" w:hAnsi="黑体" w:eastAsia="黑体" w:cs="Times New Roman"/>
          <w:sz w:val="32"/>
          <w:szCs w:val="36"/>
        </w:rPr>
      </w:pPr>
      <w:r>
        <w:rPr>
          <w:rFonts w:hint="eastAsia" w:ascii="黑体" w:hAnsi="黑体" w:eastAsia="黑体"/>
          <w:sz w:val="32"/>
          <w:szCs w:val="36"/>
        </w:rPr>
        <w:t>课程名称：</w:t>
      </w:r>
      <w:r>
        <w:rPr>
          <w:rFonts w:hint="eastAsia" w:ascii="黑体" w:hAnsi="黑体" w:eastAsia="黑体" w:cs="Times New Roman"/>
          <w:sz w:val="32"/>
          <w:szCs w:val="36"/>
        </w:rPr>
        <w:t>材料成型CAD/CAE综合应用实践</w:t>
      </w:r>
    </w:p>
    <w:p>
      <w:pPr>
        <w:spacing w:line="600" w:lineRule="exact"/>
        <w:ind w:right="28" w:firstLine="1280" w:firstLineChars="400"/>
        <w:rPr>
          <w:rFonts w:ascii="黑体" w:hAnsi="黑体" w:eastAsia="黑体" w:cs="Times New Roman"/>
          <w:sz w:val="32"/>
          <w:szCs w:val="36"/>
        </w:rPr>
      </w:pPr>
      <w:r>
        <w:rPr>
          <w:rFonts w:hint="eastAsia" w:ascii="黑体" w:hAnsi="黑体" w:eastAsia="黑体"/>
          <w:sz w:val="32"/>
          <w:szCs w:val="36"/>
        </w:rPr>
        <w:t>专业类代码：</w:t>
      </w:r>
      <w:r>
        <w:rPr>
          <w:rFonts w:hint="eastAsia" w:ascii="黑体" w:hAnsi="黑体" w:eastAsia="黑体" w:cs="Times New Roman"/>
          <w:sz w:val="32"/>
          <w:szCs w:val="36"/>
        </w:rPr>
        <w:t>0802</w:t>
      </w:r>
    </w:p>
    <w:p>
      <w:pPr>
        <w:spacing w:line="600" w:lineRule="exact"/>
        <w:ind w:right="28" w:firstLine="1280" w:firstLineChars="400"/>
        <w:rPr>
          <w:rFonts w:ascii="黑体" w:hAnsi="黑体" w:eastAsia="黑体" w:cs="Times New Roman"/>
          <w:sz w:val="32"/>
          <w:szCs w:val="36"/>
          <w:u w:val="single"/>
        </w:rPr>
      </w:pPr>
      <w:r>
        <w:rPr>
          <w:rFonts w:hint="eastAsia" w:ascii="黑体" w:hAnsi="黑体" w:eastAsia="黑体"/>
          <w:sz w:val="32"/>
          <w:szCs w:val="36"/>
        </w:rPr>
        <w:t>课程负责人：</w:t>
      </w:r>
      <w:r>
        <w:rPr>
          <w:rFonts w:hint="eastAsia" w:ascii="黑体" w:hAnsi="黑体" w:eastAsia="黑体" w:cs="Times New Roman"/>
          <w:sz w:val="32"/>
          <w:szCs w:val="36"/>
        </w:rPr>
        <w:t>彭必友</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r>
        <w:rPr>
          <w:rFonts w:hint="eastAsia" w:ascii="黑体" w:hAnsi="黑体" w:eastAsia="黑体" w:cs="Times New Roman"/>
          <w:sz w:val="32"/>
          <w:szCs w:val="36"/>
        </w:rPr>
        <w:t>18081871262</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申报学校：西华大学</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填表日期：2</w:t>
      </w:r>
      <w:r>
        <w:rPr>
          <w:rFonts w:ascii="黑体" w:hAnsi="黑体" w:eastAsia="黑体"/>
          <w:sz w:val="32"/>
          <w:szCs w:val="36"/>
        </w:rPr>
        <w:t>021.05.18</w:t>
      </w:r>
    </w:p>
    <w:p>
      <w:pPr>
        <w:snapToGrid w:val="0"/>
        <w:spacing w:line="560" w:lineRule="exact"/>
        <w:ind w:firstLine="1280" w:firstLineChars="400"/>
        <w:jc w:val="left"/>
        <w:rPr>
          <w:rFonts w:hint="default" w:ascii="黑体" w:hAnsi="黑体" w:eastAsia="黑体"/>
          <w:sz w:val="28"/>
          <w:lang w:val="en-US" w:eastAsia="zh-CN"/>
        </w:rPr>
      </w:pPr>
      <w:r>
        <w:rPr>
          <w:rFonts w:ascii="黑体" w:hAnsi="黑体" w:eastAsia="黑体"/>
          <w:sz w:val="32"/>
          <w:szCs w:val="36"/>
        </w:rPr>
        <w:t>推荐</w:t>
      </w:r>
      <w:r>
        <w:rPr>
          <w:rFonts w:hint="eastAsia" w:ascii="黑体" w:hAnsi="黑体" w:eastAsia="黑体"/>
          <w:sz w:val="32"/>
          <w:szCs w:val="36"/>
        </w:rPr>
        <w:t>单位：</w:t>
      </w:r>
      <w:r>
        <w:rPr>
          <w:rFonts w:hint="eastAsia" w:ascii="黑体" w:hAnsi="黑体" w:eastAsia="黑体"/>
          <w:sz w:val="32"/>
          <w:szCs w:val="36"/>
          <w:lang w:val="en-US" w:eastAsia="zh-CN"/>
        </w:rPr>
        <w:t>四川省教育厅</w:t>
      </w:r>
      <w:bookmarkStart w:id="0" w:name="_GoBack"/>
      <w:bookmarkEnd w:id="0"/>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snapToGrid w:val="0"/>
        <w:spacing w:line="240" w:lineRule="atLeast"/>
        <w:jc w:val="center"/>
        <w:rPr>
          <w:rFonts w:ascii="黑体" w:hAnsi="黑体" w:eastAsia="黑体"/>
          <w:sz w:val="28"/>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snapToGrid w:val="0"/>
        <w:spacing w:line="240" w:lineRule="atLeast"/>
        <w:rPr>
          <w:rFonts w:ascii="黑体" w:hAnsi="黑体" w:eastAsia="黑体"/>
          <w:sz w:val="32"/>
          <w:szCs w:val="32"/>
        </w:rPr>
      </w:pPr>
    </w:p>
    <w:p>
      <w:pPr>
        <w:jc w:val="center"/>
        <w:rPr>
          <w:rFonts w:ascii="黑体" w:hAnsi="黑体" w:eastAsia="黑体"/>
          <w:sz w:val="32"/>
          <w:szCs w:val="32"/>
        </w:rPr>
      </w:pPr>
    </w:p>
    <w:p>
      <w:pPr>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仿宋" w:hAnsi="仿宋" w:eastAsia="仿宋"/>
          <w:sz w:val="32"/>
          <w:szCs w:val="32"/>
        </w:rPr>
      </w:pPr>
    </w:p>
    <w:p>
      <w:pPr>
        <w:pStyle w:val="11"/>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419"/>
        <w:gridCol w:w="1714"/>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419"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材料成型CAD/CAE综合应用实践</w:t>
            </w:r>
          </w:p>
        </w:tc>
        <w:tc>
          <w:tcPr>
            <w:tcW w:w="1714"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397" w:type="dxa"/>
            <w:vAlign w:val="center"/>
          </w:tcPr>
          <w:p>
            <w:pPr>
              <w:spacing w:line="340" w:lineRule="exact"/>
              <w:rPr>
                <w:rFonts w:ascii="仿宋_GB2312" w:hAnsi="仿宋_GB2312" w:eastAsia="仿宋_GB2312" w:cs="仿宋_GB2312"/>
                <w:kern w:val="0"/>
                <w:sz w:val="24"/>
                <w:szCs w:val="24"/>
              </w:rPr>
            </w:pPr>
            <w:r>
              <w:rPr>
                <w:rFonts w:hint="eastAsia" w:ascii="黑体" w:hAnsi="黑体" w:eastAsia="黑体" w:cs="黑体"/>
                <w:sz w:val="24"/>
                <w:szCs w:val="28"/>
              </w:rPr>
              <w:t>●</w:t>
            </w: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彭必友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530" w:type="dxa"/>
            <w:gridSpan w:val="3"/>
            <w:vAlign w:val="center"/>
          </w:tcPr>
          <w:p>
            <w:pPr>
              <w:spacing w:line="340" w:lineRule="exac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西华大学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（2019-2020-1）-150202039-0120040005-1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○创新创业类    ○思想政治理论课类</w:t>
            </w:r>
          </w:p>
          <w:p>
            <w:pPr>
              <w:spacing w:line="340" w:lineRule="exact"/>
              <w:rPr>
                <w:rFonts w:ascii="仿宋_GB2312" w:hAnsi="仿宋_GB2312" w:eastAsia="仿宋_GB2312" w:cs="仿宋_GB2312"/>
                <w:kern w:val="0"/>
                <w:sz w:val="24"/>
                <w:szCs w:val="24"/>
              </w:rPr>
            </w:pPr>
            <w:r>
              <w:rPr>
                <w:rFonts w:hint="eastAsia" w:ascii="黑体" w:hAnsi="黑体" w:eastAsia="黑体" w:cs="黑体"/>
                <w:sz w:val="24"/>
                <w:szCs w:val="28"/>
              </w:rPr>
              <w:t>●</w:t>
            </w:r>
            <w:r>
              <w:rPr>
                <w:rFonts w:hint="eastAsia" w:ascii="仿宋_GB2312" w:hAnsi="仿宋_GB2312" w:eastAsia="仿宋_GB2312" w:cs="仿宋_GB2312"/>
                <w:kern w:val="0"/>
                <w:sz w:val="24"/>
                <w:szCs w:val="24"/>
              </w:rPr>
              <w:t xml:space="preserve">专业类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○其他（填写）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黑体" w:hAnsi="黑体" w:eastAsia="黑体" w:cs="黑体"/>
                <w:sz w:val="24"/>
                <w:szCs w:val="28"/>
              </w:rPr>
              <w:t>●</w:t>
            </w:r>
            <w:r>
              <w:rPr>
                <w:rFonts w:hint="eastAsia" w:ascii="仿宋_GB2312" w:hAnsi="仿宋_GB2312" w:eastAsia="仿宋_GB2312" w:cs="仿宋_GB2312"/>
                <w:kern w:val="0"/>
                <w:sz w:val="24"/>
                <w:szCs w:val="24"/>
              </w:rPr>
              <w:t>必修○选修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大三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材料成型及控制工程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名称及所在地：</w:t>
            </w:r>
          </w:p>
          <w:p>
            <w:pPr>
              <w:spacing w:line="340" w:lineRule="exact"/>
              <w:rPr>
                <w:rFonts w:ascii="仿宋_GB2312" w:hAnsi="仿宋_GB2312" w:eastAsia="仿宋_GB2312" w:cs="仿宋_GB2312"/>
                <w:kern w:val="0"/>
                <w:szCs w:val="21"/>
              </w:rPr>
            </w:pPr>
            <w:r>
              <w:rPr>
                <w:rFonts w:hint="eastAsia" w:ascii="仿宋_GB2312" w:hAnsi="仿宋_GB2312" w:eastAsia="仿宋_GB2312" w:cs="仿宋_GB2312"/>
                <w:b/>
                <w:bCs/>
                <w:kern w:val="0"/>
                <w:szCs w:val="21"/>
              </w:rPr>
              <w:t>线下平台</w:t>
            </w:r>
            <w:r>
              <w:rPr>
                <w:rFonts w:hint="eastAsia" w:ascii="仿宋_GB2312" w:hAnsi="仿宋_GB2312" w:eastAsia="仿宋_GB2312" w:cs="仿宋_GB2312"/>
                <w:kern w:val="0"/>
                <w:szCs w:val="21"/>
              </w:rPr>
              <w:t>：彭州市磁峰镇、汶川县水磨镇、青城山旅游产业装备功能区；四川省大学生创新创业俱乐部</w:t>
            </w:r>
          </w:p>
          <w:p>
            <w:pPr>
              <w:spacing w:line="340" w:lineRule="exact"/>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Cs w:val="21"/>
              </w:rPr>
              <w:t>线上平台：</w:t>
            </w:r>
            <w:r>
              <w:rPr>
                <w:rFonts w:hint="eastAsia" w:ascii="仿宋_GB2312" w:hAnsi="仿宋_GB2312" w:eastAsia="仿宋_GB2312" w:cs="仿宋_GB2312"/>
                <w:kern w:val="0"/>
                <w:szCs w:val="21"/>
              </w:rPr>
              <w:t>数字化创新人才产教融合培养示范基地的“数字工坊”、“</w:t>
            </w:r>
            <w:r>
              <w:rPr>
                <w:rFonts w:ascii="Times New Roman" w:hAnsi="Times New Roman" w:eastAsia="仿宋_GB2312" w:cs="Times New Roman"/>
                <w:kern w:val="0"/>
                <w:szCs w:val="21"/>
              </w:rPr>
              <w:t>3Dshow</w:t>
            </w:r>
            <w:r>
              <w:rPr>
                <w:rFonts w:hint="eastAsia" w:ascii="仿宋_GB2312" w:hAnsi="仿宋_GB2312" w:eastAsia="仿宋_GB2312" w:cs="仿宋_GB2312"/>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总学时：3</w:t>
            </w:r>
            <w:r>
              <w:rPr>
                <w:rFonts w:ascii="仿宋_GB2312" w:hAnsi="仿宋_GB2312" w:eastAsia="仿宋_GB2312" w:cs="仿宋_GB2312"/>
                <w:kern w:val="0"/>
                <w:sz w:val="24"/>
                <w:szCs w:val="24"/>
              </w:rPr>
              <w:t>2</w:t>
            </w:r>
            <w:r>
              <w:rPr>
                <w:rFonts w:hint="eastAsia" w:ascii="仿宋_GB2312" w:hAnsi="仿宋_GB2312" w:eastAsia="仿宋_GB2312" w:cs="仿宋_GB2312"/>
                <w:kern w:val="0"/>
                <w:sz w:val="24"/>
                <w:szCs w:val="24"/>
              </w:rPr>
              <w:t xml:space="preserve">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理论课学时：0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实践学时：3</w:t>
            </w:r>
            <w:r>
              <w:rPr>
                <w:rFonts w:ascii="仿宋_GB2312" w:hAnsi="仿宋_GB2312" w:eastAsia="仿宋_GB2312" w:cs="仿宋_GB2312"/>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530" w:type="dxa"/>
            <w:gridSpan w:val="3"/>
            <w:vAlign w:val="center"/>
          </w:tcPr>
          <w:p>
            <w:pPr>
              <w:spacing w:line="360" w:lineRule="auto"/>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2019</w:t>
            </w:r>
            <w:r>
              <w:rPr>
                <w:rFonts w:hint="eastAsia" w:ascii="仿宋_GB2312" w:hAnsi="仿宋_GB2312" w:eastAsia="仿宋_GB2312" w:cs="仿宋_GB2312"/>
                <w:kern w:val="0"/>
                <w:sz w:val="24"/>
                <w:szCs w:val="24"/>
              </w:rPr>
              <w:t xml:space="preserve">年 </w:t>
            </w:r>
            <w:r>
              <w:rPr>
                <w:rFonts w:ascii="仿宋_GB2312" w:hAnsi="仿宋_GB2312" w:eastAsia="仿宋_GB2312" w:cs="仿宋_GB2312"/>
                <w:kern w:val="0"/>
                <w:sz w:val="24"/>
                <w:szCs w:val="24"/>
              </w:rPr>
              <w:t>7</w:t>
            </w:r>
            <w:r>
              <w:rPr>
                <w:rFonts w:hint="eastAsia" w:ascii="仿宋_GB2312" w:hAnsi="仿宋_GB2312" w:eastAsia="仿宋_GB2312" w:cs="仿宋_GB2312"/>
                <w:kern w:val="0"/>
                <w:sz w:val="24"/>
                <w:szCs w:val="24"/>
              </w:rPr>
              <w:t xml:space="preserve"> 月 </w:t>
            </w:r>
            <w:r>
              <w:rPr>
                <w:rFonts w:ascii="仿宋_GB2312" w:hAnsi="仿宋_GB2312" w:eastAsia="仿宋_GB2312" w:cs="仿宋_GB2312"/>
                <w:kern w:val="0"/>
                <w:sz w:val="24"/>
                <w:szCs w:val="24"/>
              </w:rPr>
              <w:t>1</w:t>
            </w:r>
            <w:r>
              <w:rPr>
                <w:rFonts w:hint="eastAsia" w:ascii="仿宋_GB2312" w:hAnsi="仿宋_GB2312" w:eastAsia="仿宋_GB2312" w:cs="仿宋_GB2312"/>
                <w:kern w:val="0"/>
                <w:sz w:val="24"/>
                <w:szCs w:val="24"/>
              </w:rPr>
              <w:t xml:space="preserve"> 日— </w:t>
            </w:r>
            <w:r>
              <w:rPr>
                <w:rFonts w:ascii="仿宋_GB2312" w:hAnsi="仿宋_GB2312" w:eastAsia="仿宋_GB2312" w:cs="仿宋_GB2312"/>
                <w:kern w:val="0"/>
                <w:sz w:val="24"/>
                <w:szCs w:val="24"/>
              </w:rPr>
              <w:t>2019</w:t>
            </w:r>
            <w:r>
              <w:rPr>
                <w:rFonts w:hint="eastAsia" w:ascii="仿宋_GB2312" w:hAnsi="仿宋_GB2312" w:eastAsia="仿宋_GB2312" w:cs="仿宋_GB2312"/>
                <w:kern w:val="0"/>
                <w:sz w:val="24"/>
                <w:szCs w:val="24"/>
              </w:rPr>
              <w:t xml:space="preserve"> 年 </w:t>
            </w:r>
            <w:r>
              <w:rPr>
                <w:rFonts w:ascii="仿宋_GB2312" w:hAnsi="仿宋_GB2312" w:eastAsia="仿宋_GB2312" w:cs="仿宋_GB2312"/>
                <w:kern w:val="0"/>
                <w:sz w:val="24"/>
                <w:szCs w:val="24"/>
              </w:rPr>
              <w:t>12</w:t>
            </w:r>
            <w:r>
              <w:rPr>
                <w:rFonts w:hint="eastAsia" w:ascii="仿宋_GB2312" w:hAnsi="仿宋_GB2312" w:eastAsia="仿宋_GB2312" w:cs="仿宋_GB2312"/>
                <w:kern w:val="0"/>
                <w:sz w:val="24"/>
                <w:szCs w:val="24"/>
              </w:rPr>
              <w:t xml:space="preserve"> 月 </w:t>
            </w:r>
            <w:r>
              <w:rPr>
                <w:rFonts w:ascii="仿宋_GB2312" w:hAnsi="仿宋_GB2312" w:eastAsia="仿宋_GB2312" w:cs="仿宋_GB2312"/>
                <w:kern w:val="0"/>
                <w:sz w:val="24"/>
                <w:szCs w:val="24"/>
              </w:rPr>
              <w:t>30</w:t>
            </w:r>
            <w:r>
              <w:rPr>
                <w:rFonts w:hint="eastAsia" w:ascii="仿宋_GB2312" w:hAnsi="仿宋_GB2312" w:eastAsia="仿宋_GB2312" w:cs="仿宋_GB2312"/>
                <w:kern w:val="0"/>
                <w:sz w:val="24"/>
                <w:szCs w:val="24"/>
              </w:rPr>
              <w:t xml:space="preserve"> 日</w:t>
            </w:r>
            <w:r>
              <w:rPr>
                <w:rFonts w:hint="eastAsia" w:ascii="仿宋_GB2312" w:hAnsi="仿宋_GB2312" w:eastAsia="仿宋_GB2312" w:cs="仿宋_GB2312"/>
                <w:kern w:val="0"/>
                <w:szCs w:val="21"/>
              </w:rPr>
              <w:drawing>
                <wp:inline distT="0" distB="0" distL="114300" distR="114300">
                  <wp:extent cx="3375660" cy="1238250"/>
                  <wp:effectExtent l="0" t="0" r="0" b="0"/>
                  <wp:docPr id="2" name="图片 2" descr="2019-2020-1教务系统截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19-2020-1教务系统截图"/>
                          <pic:cNvPicPr>
                            <a:picLocks noChangeAspect="1"/>
                          </pic:cNvPicPr>
                        </pic:nvPicPr>
                        <pic:blipFill>
                          <a:blip r:embed="rId4"/>
                          <a:srcRect b="24827"/>
                          <a:stretch>
                            <a:fillRect/>
                          </a:stretch>
                        </pic:blipFill>
                        <pic:spPr>
                          <a:xfrm>
                            <a:off x="0" y="0"/>
                            <a:ext cx="3375660" cy="1238250"/>
                          </a:xfrm>
                          <a:prstGeom prst="rect">
                            <a:avLst/>
                          </a:prstGeom>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continue"/>
            <w:vAlign w:val="center"/>
          </w:tcPr>
          <w:p>
            <w:pPr>
              <w:spacing w:line="340" w:lineRule="exact"/>
              <w:jc w:val="center"/>
              <w:rPr>
                <w:rFonts w:ascii="仿宋_GB2312" w:hAnsi="仿宋_GB2312" w:eastAsia="仿宋_GB2312" w:cs="仿宋_GB2312"/>
                <w:kern w:val="0"/>
                <w:sz w:val="24"/>
                <w:szCs w:val="24"/>
              </w:rPr>
            </w:pP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2018</w:t>
            </w:r>
            <w:r>
              <w:rPr>
                <w:rFonts w:hint="eastAsia" w:ascii="仿宋_GB2312" w:hAnsi="仿宋_GB2312" w:eastAsia="仿宋_GB2312" w:cs="仿宋_GB2312"/>
                <w:kern w:val="0"/>
                <w:sz w:val="24"/>
                <w:szCs w:val="24"/>
              </w:rPr>
              <w:t xml:space="preserve">年 </w:t>
            </w:r>
            <w:r>
              <w:rPr>
                <w:rFonts w:ascii="仿宋_GB2312" w:hAnsi="仿宋_GB2312" w:eastAsia="仿宋_GB2312" w:cs="仿宋_GB2312"/>
                <w:kern w:val="0"/>
                <w:sz w:val="24"/>
                <w:szCs w:val="24"/>
              </w:rPr>
              <w:t>7</w:t>
            </w:r>
            <w:r>
              <w:rPr>
                <w:rFonts w:hint="eastAsia" w:ascii="仿宋_GB2312" w:hAnsi="仿宋_GB2312" w:eastAsia="仿宋_GB2312" w:cs="仿宋_GB2312"/>
                <w:kern w:val="0"/>
                <w:sz w:val="24"/>
                <w:szCs w:val="24"/>
              </w:rPr>
              <w:t xml:space="preserve">月 </w:t>
            </w:r>
            <w:r>
              <w:rPr>
                <w:rFonts w:ascii="仿宋_GB2312" w:hAnsi="仿宋_GB2312" w:eastAsia="仿宋_GB2312" w:cs="仿宋_GB2312"/>
                <w:kern w:val="0"/>
                <w:sz w:val="24"/>
                <w:szCs w:val="24"/>
              </w:rPr>
              <w:t>1</w:t>
            </w:r>
            <w:r>
              <w:rPr>
                <w:rFonts w:hint="eastAsia" w:ascii="仿宋_GB2312" w:hAnsi="仿宋_GB2312" w:eastAsia="仿宋_GB2312" w:cs="仿宋_GB2312"/>
                <w:kern w:val="0"/>
                <w:sz w:val="24"/>
                <w:szCs w:val="24"/>
              </w:rPr>
              <w:t xml:space="preserve"> 日— </w:t>
            </w:r>
            <w:r>
              <w:rPr>
                <w:rFonts w:ascii="仿宋_GB2312" w:hAnsi="仿宋_GB2312" w:eastAsia="仿宋_GB2312" w:cs="仿宋_GB2312"/>
                <w:kern w:val="0"/>
                <w:sz w:val="24"/>
                <w:szCs w:val="24"/>
              </w:rPr>
              <w:t>2018</w:t>
            </w:r>
            <w:r>
              <w:rPr>
                <w:rFonts w:hint="eastAsia" w:ascii="仿宋_GB2312" w:hAnsi="仿宋_GB2312" w:eastAsia="仿宋_GB2312" w:cs="仿宋_GB2312"/>
                <w:kern w:val="0"/>
                <w:sz w:val="24"/>
                <w:szCs w:val="24"/>
              </w:rPr>
              <w:t xml:space="preserve"> 年 </w:t>
            </w:r>
            <w:r>
              <w:rPr>
                <w:rFonts w:ascii="仿宋_GB2312" w:hAnsi="仿宋_GB2312" w:eastAsia="仿宋_GB2312" w:cs="仿宋_GB2312"/>
                <w:kern w:val="0"/>
                <w:sz w:val="24"/>
                <w:szCs w:val="24"/>
              </w:rPr>
              <w:t>12</w:t>
            </w:r>
            <w:r>
              <w:rPr>
                <w:rFonts w:hint="eastAsia" w:ascii="仿宋_GB2312" w:hAnsi="仿宋_GB2312" w:eastAsia="仿宋_GB2312" w:cs="仿宋_GB2312"/>
                <w:kern w:val="0"/>
                <w:sz w:val="24"/>
                <w:szCs w:val="24"/>
              </w:rPr>
              <w:t xml:space="preserve"> 月 </w:t>
            </w:r>
            <w:r>
              <w:rPr>
                <w:rFonts w:ascii="仿宋_GB2312" w:hAnsi="仿宋_GB2312" w:eastAsia="仿宋_GB2312" w:cs="仿宋_GB2312"/>
                <w:kern w:val="0"/>
                <w:sz w:val="24"/>
                <w:szCs w:val="24"/>
              </w:rPr>
              <w:t>30</w:t>
            </w:r>
            <w:r>
              <w:rPr>
                <w:rFonts w:hint="eastAsia" w:ascii="仿宋_GB2312" w:hAnsi="仿宋_GB2312" w:eastAsia="仿宋_GB2312" w:cs="仿宋_GB2312"/>
                <w:kern w:val="0"/>
                <w:sz w:val="24"/>
                <w:szCs w:val="24"/>
              </w:rPr>
              <w:t xml:space="preserve"> 日</w:t>
            </w:r>
          </w:p>
          <w:p>
            <w:pPr>
              <w:spacing w:line="36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Cs w:val="21"/>
              </w:rPr>
              <w:drawing>
                <wp:inline distT="0" distB="0" distL="114300" distR="114300">
                  <wp:extent cx="2819400" cy="1375410"/>
                  <wp:effectExtent l="0" t="0" r="0" b="0"/>
                  <wp:docPr id="3" name="图片 3" descr="2018-2019-1教务系统截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018-2019-1教务系统截图"/>
                          <pic:cNvPicPr>
                            <a:picLocks noChangeAspect="1"/>
                          </pic:cNvPicPr>
                        </pic:nvPicPr>
                        <pic:blipFill>
                          <a:blip r:embed="rId5"/>
                          <a:stretch>
                            <a:fillRect/>
                          </a:stretch>
                        </pic:blipFill>
                        <pic:spPr>
                          <a:xfrm>
                            <a:off x="0" y="0"/>
                            <a:ext cx="2877965" cy="1404494"/>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w:t>
            </w:r>
            <w:r>
              <w:rPr>
                <w:rFonts w:ascii="仿宋_GB2312" w:hAnsi="仿宋_GB2312" w:eastAsia="仿宋_GB2312" w:cs="仿宋_GB2312"/>
                <w:kern w:val="0"/>
                <w:sz w:val="24"/>
                <w:szCs w:val="24"/>
              </w:rPr>
              <w:t>0</w:t>
            </w: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二、授课教师（教学团队）</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2"/>
        <w:gridCol w:w="850"/>
        <w:gridCol w:w="851"/>
        <w:gridCol w:w="992"/>
        <w:gridCol w:w="851"/>
        <w:gridCol w:w="708"/>
        <w:gridCol w:w="1276"/>
        <w:gridCol w:w="1134"/>
        <w:gridCol w:w="1454"/>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39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850"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85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99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851"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08"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76"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1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45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791" w:hRule="atLeast"/>
        </w:trPr>
        <w:tc>
          <w:tcPr>
            <w:tcW w:w="392"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850"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彭必友</w:t>
            </w:r>
          </w:p>
        </w:tc>
        <w:tc>
          <w:tcPr>
            <w:tcW w:w="851"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1979.3</w:t>
            </w:r>
          </w:p>
        </w:tc>
        <w:tc>
          <w:tcPr>
            <w:tcW w:w="992"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西华大学</w:t>
            </w:r>
          </w:p>
        </w:tc>
        <w:tc>
          <w:tcPr>
            <w:tcW w:w="851"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院长助理</w:t>
            </w:r>
          </w:p>
        </w:tc>
        <w:tc>
          <w:tcPr>
            <w:tcW w:w="708"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副教授</w:t>
            </w:r>
          </w:p>
        </w:tc>
        <w:tc>
          <w:tcPr>
            <w:tcW w:w="1276"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18081871262</w:t>
            </w:r>
          </w:p>
        </w:tc>
        <w:tc>
          <w:tcPr>
            <w:tcW w:w="1134" w:type="dxa"/>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pengbiyou@126.com</w:t>
            </w:r>
          </w:p>
        </w:tc>
        <w:tc>
          <w:tcPr>
            <w:tcW w:w="1454" w:type="dxa"/>
          </w:tcPr>
          <w:p>
            <w:pPr>
              <w:rPr>
                <w:rFonts w:ascii="仿宋_GB2312" w:hAnsi="仿宋_GB2312" w:eastAsia="仿宋_GB2312" w:cs="仿宋_GB2312"/>
                <w:kern w:val="0"/>
                <w:sz w:val="24"/>
                <w:szCs w:val="24"/>
              </w:rPr>
            </w:pPr>
            <w:r>
              <w:rPr>
                <w:rFonts w:ascii="Times New Roman" w:hAnsi="Times New Roman" w:eastAsia="楷体" w:cs="Times New Roman"/>
                <w:sz w:val="18"/>
                <w:szCs w:val="18"/>
              </w:rPr>
              <w:t>课程总体负责，金属铸造CAD/CAE项目指导老师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392"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850"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余玲</w:t>
            </w:r>
          </w:p>
        </w:tc>
        <w:tc>
          <w:tcPr>
            <w:tcW w:w="851"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1980.10</w:t>
            </w:r>
          </w:p>
        </w:tc>
        <w:tc>
          <w:tcPr>
            <w:tcW w:w="992"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西华大学</w:t>
            </w:r>
          </w:p>
        </w:tc>
        <w:tc>
          <w:tcPr>
            <w:tcW w:w="851"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无</w:t>
            </w:r>
          </w:p>
        </w:tc>
        <w:tc>
          <w:tcPr>
            <w:tcW w:w="708"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高级实验师</w:t>
            </w:r>
          </w:p>
        </w:tc>
        <w:tc>
          <w:tcPr>
            <w:tcW w:w="1276"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13880671263</w:t>
            </w:r>
          </w:p>
        </w:tc>
        <w:tc>
          <w:tcPr>
            <w:tcW w:w="1134" w:type="dxa"/>
          </w:tcPr>
          <w:p>
            <w:pPr>
              <w:rPr>
                <w:rFonts w:ascii="仿宋_GB2312" w:hAnsi="仿宋_GB2312" w:eastAsia="仿宋_GB2312" w:cs="仿宋_GB2312"/>
                <w:kern w:val="0"/>
                <w:sz w:val="24"/>
                <w:szCs w:val="24"/>
              </w:rPr>
            </w:pPr>
            <w:r>
              <w:rPr>
                <w:rFonts w:ascii="Times New Roman" w:hAnsi="Times New Roman" w:eastAsia="楷体" w:cs="Times New Roman"/>
                <w:sz w:val="18"/>
                <w:szCs w:val="18"/>
              </w:rPr>
              <w:t>yuling1906@126.com</w:t>
            </w:r>
          </w:p>
        </w:tc>
        <w:tc>
          <w:tcPr>
            <w:tcW w:w="1454" w:type="dxa"/>
          </w:tcPr>
          <w:p>
            <w:pPr>
              <w:rPr>
                <w:rFonts w:ascii="仿宋_GB2312" w:hAnsi="仿宋_GB2312" w:eastAsia="仿宋_GB2312" w:cs="仿宋_GB2312"/>
                <w:kern w:val="0"/>
                <w:sz w:val="24"/>
                <w:szCs w:val="24"/>
              </w:rPr>
            </w:pPr>
            <w:r>
              <w:rPr>
                <w:rFonts w:ascii="Times New Roman" w:hAnsi="Times New Roman" w:eastAsia="楷体" w:cs="Times New Roman"/>
                <w:sz w:val="18"/>
                <w:szCs w:val="18"/>
              </w:rPr>
              <w:t>塑料注射CAD/CAE项目指导老师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392"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850"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王博</w:t>
            </w:r>
          </w:p>
        </w:tc>
        <w:tc>
          <w:tcPr>
            <w:tcW w:w="851"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1982.8</w:t>
            </w:r>
          </w:p>
        </w:tc>
        <w:tc>
          <w:tcPr>
            <w:tcW w:w="992"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西华大学</w:t>
            </w:r>
          </w:p>
        </w:tc>
        <w:tc>
          <w:tcPr>
            <w:tcW w:w="851"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创新创业学院副院长</w:t>
            </w:r>
          </w:p>
        </w:tc>
        <w:tc>
          <w:tcPr>
            <w:tcW w:w="708"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助理研究员</w:t>
            </w:r>
          </w:p>
        </w:tc>
        <w:tc>
          <w:tcPr>
            <w:tcW w:w="1276"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15228899688</w:t>
            </w:r>
          </w:p>
        </w:tc>
        <w:tc>
          <w:tcPr>
            <w:tcW w:w="1134" w:type="dxa"/>
          </w:tcPr>
          <w:p>
            <w:pPr>
              <w:rPr>
                <w:rFonts w:ascii="仿宋_GB2312" w:hAnsi="仿宋_GB2312" w:eastAsia="仿宋_GB2312" w:cs="仿宋_GB2312"/>
                <w:kern w:val="0"/>
                <w:sz w:val="24"/>
                <w:szCs w:val="24"/>
              </w:rPr>
            </w:pPr>
            <w:r>
              <w:rPr>
                <w:rFonts w:ascii="Times New Roman" w:hAnsi="Times New Roman" w:eastAsia="楷体" w:cs="Times New Roman"/>
                <w:sz w:val="18"/>
                <w:szCs w:val="18"/>
              </w:rPr>
              <w:t>eyre@foxmail.com</w:t>
            </w:r>
          </w:p>
        </w:tc>
        <w:tc>
          <w:tcPr>
            <w:tcW w:w="1454" w:type="dxa"/>
          </w:tcPr>
          <w:p>
            <w:pPr>
              <w:rPr>
                <w:rFonts w:ascii="仿宋_GB2312" w:hAnsi="仿宋_GB2312" w:eastAsia="仿宋_GB2312" w:cs="仿宋_GB2312"/>
                <w:kern w:val="0"/>
                <w:sz w:val="24"/>
                <w:szCs w:val="24"/>
              </w:rPr>
            </w:pPr>
            <w:r>
              <w:rPr>
                <w:rFonts w:ascii="Times New Roman" w:hAnsi="Times New Roman" w:eastAsia="楷体" w:cs="Times New Roman"/>
                <w:sz w:val="18"/>
                <w:szCs w:val="18"/>
              </w:rPr>
              <w:t>创业辅导老师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392"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850"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肖兵</w:t>
            </w:r>
          </w:p>
        </w:tc>
        <w:tc>
          <w:tcPr>
            <w:tcW w:w="851"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1974.4</w:t>
            </w:r>
          </w:p>
        </w:tc>
        <w:tc>
          <w:tcPr>
            <w:tcW w:w="992"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西华大学</w:t>
            </w:r>
          </w:p>
        </w:tc>
        <w:tc>
          <w:tcPr>
            <w:tcW w:w="851"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无</w:t>
            </w:r>
          </w:p>
        </w:tc>
        <w:tc>
          <w:tcPr>
            <w:tcW w:w="708"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讲师</w:t>
            </w:r>
          </w:p>
        </w:tc>
        <w:tc>
          <w:tcPr>
            <w:tcW w:w="1276"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13880839210</w:t>
            </w:r>
          </w:p>
        </w:tc>
        <w:tc>
          <w:tcPr>
            <w:tcW w:w="1134" w:type="dxa"/>
          </w:tcPr>
          <w:p>
            <w:pPr>
              <w:rPr>
                <w:rFonts w:ascii="仿宋_GB2312" w:hAnsi="仿宋_GB2312" w:eastAsia="仿宋_GB2312" w:cs="仿宋_GB2312"/>
                <w:kern w:val="0"/>
                <w:sz w:val="24"/>
                <w:szCs w:val="24"/>
              </w:rPr>
            </w:pPr>
            <w:r>
              <w:fldChar w:fldCharType="begin"/>
            </w:r>
            <w:r>
              <w:instrText xml:space="preserve"> HYPERLINK "mailto:scxiaobing@qq.com" </w:instrText>
            </w:r>
            <w:r>
              <w:fldChar w:fldCharType="separate"/>
            </w:r>
            <w:r>
              <w:rPr>
                <w:rFonts w:ascii="Times New Roman" w:hAnsi="Times New Roman" w:eastAsia="楷体" w:cs="Times New Roman"/>
                <w:sz w:val="18"/>
                <w:szCs w:val="18"/>
              </w:rPr>
              <w:t>scxiaobing@qq.com</w:t>
            </w:r>
            <w:r>
              <w:rPr>
                <w:rFonts w:ascii="Times New Roman" w:hAnsi="Times New Roman" w:eastAsia="楷体" w:cs="Times New Roman"/>
                <w:sz w:val="18"/>
                <w:szCs w:val="18"/>
              </w:rPr>
              <w:fldChar w:fldCharType="end"/>
            </w:r>
          </w:p>
        </w:tc>
        <w:tc>
          <w:tcPr>
            <w:tcW w:w="1454" w:type="dxa"/>
          </w:tcPr>
          <w:p>
            <w:pPr>
              <w:rPr>
                <w:rFonts w:ascii="仿宋_GB2312" w:hAnsi="仿宋_GB2312" w:eastAsia="仿宋_GB2312" w:cs="仿宋_GB2312"/>
                <w:kern w:val="0"/>
                <w:sz w:val="24"/>
                <w:szCs w:val="24"/>
              </w:rPr>
            </w:pPr>
            <w:r>
              <w:rPr>
                <w:rFonts w:ascii="Times New Roman" w:hAnsi="Times New Roman" w:eastAsia="楷体" w:cs="Times New Roman"/>
                <w:sz w:val="18"/>
                <w:szCs w:val="18"/>
              </w:rPr>
              <w:t>金属塑性成形CAD/CAE项目指导老师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392"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850"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韩锐</w:t>
            </w:r>
          </w:p>
        </w:tc>
        <w:tc>
          <w:tcPr>
            <w:tcW w:w="851"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1988.5</w:t>
            </w:r>
          </w:p>
        </w:tc>
        <w:tc>
          <w:tcPr>
            <w:tcW w:w="992"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西华大学</w:t>
            </w:r>
          </w:p>
        </w:tc>
        <w:tc>
          <w:tcPr>
            <w:tcW w:w="851"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无</w:t>
            </w:r>
          </w:p>
        </w:tc>
        <w:tc>
          <w:tcPr>
            <w:tcW w:w="708"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副教授</w:t>
            </w:r>
          </w:p>
        </w:tc>
        <w:tc>
          <w:tcPr>
            <w:tcW w:w="1276" w:type="dxa"/>
            <w:vAlign w:val="center"/>
          </w:tcPr>
          <w:p>
            <w:pPr>
              <w:jc w:val="center"/>
              <w:rPr>
                <w:rFonts w:ascii="仿宋_GB2312" w:hAnsi="仿宋_GB2312" w:eastAsia="仿宋_GB2312" w:cs="仿宋_GB2312"/>
                <w:kern w:val="0"/>
                <w:sz w:val="24"/>
                <w:szCs w:val="24"/>
              </w:rPr>
            </w:pPr>
            <w:r>
              <w:rPr>
                <w:rFonts w:ascii="Times New Roman" w:hAnsi="Times New Roman" w:eastAsia="楷体" w:cs="Times New Roman"/>
                <w:sz w:val="18"/>
                <w:szCs w:val="18"/>
              </w:rPr>
              <w:t>13608186229</w:t>
            </w:r>
          </w:p>
        </w:tc>
        <w:tc>
          <w:tcPr>
            <w:tcW w:w="1134" w:type="dxa"/>
          </w:tcPr>
          <w:p>
            <w:pPr>
              <w:rPr>
                <w:rFonts w:ascii="仿宋_GB2312" w:hAnsi="仿宋_GB2312" w:eastAsia="仿宋_GB2312" w:cs="仿宋_GB2312"/>
                <w:kern w:val="0"/>
                <w:sz w:val="24"/>
                <w:szCs w:val="24"/>
              </w:rPr>
            </w:pPr>
            <w:r>
              <w:rPr>
                <w:rFonts w:ascii="Times New Roman" w:hAnsi="Times New Roman" w:eastAsia="楷体" w:cs="Times New Roman"/>
                <w:sz w:val="18"/>
                <w:szCs w:val="18"/>
              </w:rPr>
              <w:t>ruihan_harry@mail.xhu.edu.cn</w:t>
            </w:r>
          </w:p>
        </w:tc>
        <w:tc>
          <w:tcPr>
            <w:tcW w:w="1454" w:type="dxa"/>
          </w:tcPr>
          <w:p>
            <w:pPr>
              <w:rPr>
                <w:rFonts w:ascii="仿宋_GB2312" w:hAnsi="仿宋_GB2312" w:eastAsia="仿宋_GB2312" w:cs="仿宋_GB2312"/>
                <w:kern w:val="0"/>
                <w:sz w:val="24"/>
                <w:szCs w:val="24"/>
              </w:rPr>
            </w:pPr>
            <w:r>
              <w:rPr>
                <w:rFonts w:ascii="Times New Roman" w:hAnsi="Times New Roman" w:eastAsia="楷体" w:cs="Times New Roman"/>
                <w:sz w:val="18"/>
                <w:szCs w:val="18"/>
              </w:rPr>
              <w:t>塑料注射CAD/CAE项目指导老师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b/>
                <w:bCs/>
                <w:kern w:val="0"/>
                <w:szCs w:val="21"/>
              </w:rPr>
            </w:pPr>
            <w:r>
              <w:rPr>
                <w:rFonts w:hint="eastAsia" w:ascii="楷体" w:hAnsi="楷体" w:eastAsia="楷体" w:cs="楷体"/>
                <w:b/>
                <w:bCs/>
                <w:kern w:val="0"/>
                <w:szCs w:val="21"/>
              </w:rPr>
              <w:t>一、近5年来主要承担的本科教学任务：</w:t>
            </w:r>
          </w:p>
          <w:p>
            <w:pPr>
              <w:spacing w:line="340" w:lineRule="atLeast"/>
              <w:rPr>
                <w:rFonts w:ascii="楷体" w:hAnsi="楷体" w:eastAsia="楷体" w:cs="楷体"/>
                <w:kern w:val="0"/>
                <w:szCs w:val="21"/>
              </w:rPr>
            </w:pPr>
            <w:r>
              <w:rPr>
                <w:rFonts w:hint="eastAsia" w:ascii="楷体" w:hAnsi="楷体" w:eastAsia="楷体" w:cs="楷体"/>
                <w:kern w:val="0"/>
                <w:szCs w:val="21"/>
              </w:rPr>
              <w:t>[1]材料成型CAD/CAE技术基础，2005年至今，课程负责人</w:t>
            </w:r>
          </w:p>
          <w:p>
            <w:pPr>
              <w:spacing w:line="340" w:lineRule="atLeast"/>
              <w:rPr>
                <w:rFonts w:ascii="楷体" w:hAnsi="楷体" w:eastAsia="楷体" w:cs="楷体"/>
                <w:kern w:val="0"/>
                <w:szCs w:val="21"/>
              </w:rPr>
            </w:pPr>
            <w:r>
              <w:rPr>
                <w:rFonts w:hint="eastAsia" w:ascii="楷体" w:hAnsi="楷体" w:eastAsia="楷体" w:cs="楷体"/>
                <w:kern w:val="0"/>
                <w:szCs w:val="21"/>
              </w:rPr>
              <w:t>[2]材料成型CAD/CAE综合应用实践，2005年至今，课程负责人</w:t>
            </w:r>
          </w:p>
          <w:p>
            <w:pPr>
              <w:spacing w:line="340" w:lineRule="atLeast"/>
              <w:rPr>
                <w:rFonts w:ascii="楷体" w:hAnsi="楷体" w:eastAsia="楷体" w:cs="楷体"/>
                <w:kern w:val="0"/>
                <w:szCs w:val="21"/>
              </w:rPr>
            </w:pPr>
            <w:r>
              <w:rPr>
                <w:rFonts w:hint="eastAsia" w:ascii="楷体" w:hAnsi="楷体" w:eastAsia="楷体" w:cs="楷体"/>
                <w:kern w:val="0"/>
                <w:szCs w:val="21"/>
              </w:rPr>
              <w:t>[3]增材制造技术，2018年至今，主讲教师</w:t>
            </w:r>
          </w:p>
          <w:p>
            <w:pPr>
              <w:spacing w:line="340" w:lineRule="atLeast"/>
              <w:rPr>
                <w:rFonts w:ascii="楷体" w:hAnsi="楷体" w:eastAsia="楷体" w:cs="楷体"/>
                <w:b/>
                <w:bCs/>
                <w:kern w:val="0"/>
                <w:szCs w:val="21"/>
              </w:rPr>
            </w:pPr>
            <w:r>
              <w:rPr>
                <w:rFonts w:hint="eastAsia" w:ascii="楷体" w:hAnsi="楷体" w:eastAsia="楷体" w:cs="楷体"/>
                <w:b/>
                <w:bCs/>
                <w:kern w:val="0"/>
                <w:szCs w:val="21"/>
              </w:rPr>
              <w:t>二、承担的教育教学改革及质量工程项目</w:t>
            </w:r>
          </w:p>
          <w:p>
            <w:pPr>
              <w:spacing w:line="340" w:lineRule="atLeast"/>
              <w:rPr>
                <w:rFonts w:ascii="楷体" w:hAnsi="楷体" w:eastAsia="楷体" w:cs="楷体"/>
                <w:kern w:val="0"/>
                <w:szCs w:val="21"/>
              </w:rPr>
            </w:pPr>
            <w:r>
              <w:rPr>
                <w:rFonts w:hint="eastAsia" w:ascii="楷体" w:hAnsi="楷体" w:eastAsia="楷体" w:cs="楷体"/>
                <w:kern w:val="0"/>
                <w:szCs w:val="21"/>
              </w:rPr>
              <w:t>[1]《材料成型CAD/CAE综合实践》创新创业示范课程，四川省教育厅，2020，课程负责人</w:t>
            </w:r>
          </w:p>
          <w:p>
            <w:pPr>
              <w:spacing w:line="340" w:lineRule="atLeast"/>
              <w:rPr>
                <w:rFonts w:ascii="楷体" w:hAnsi="楷体" w:eastAsia="楷体" w:cs="楷体"/>
                <w:kern w:val="0"/>
                <w:szCs w:val="21"/>
              </w:rPr>
            </w:pPr>
            <w:r>
              <w:rPr>
                <w:rFonts w:hint="eastAsia" w:ascii="楷体" w:hAnsi="楷体" w:eastAsia="楷体" w:cs="楷体"/>
                <w:kern w:val="0"/>
                <w:szCs w:val="21"/>
              </w:rPr>
              <w:t>[2]基于增材思维的先进设计与智能制造人才培养，教育部,2018，项目负责人</w:t>
            </w:r>
          </w:p>
          <w:p>
            <w:pPr>
              <w:spacing w:line="340" w:lineRule="atLeast"/>
              <w:rPr>
                <w:rFonts w:ascii="楷体" w:hAnsi="楷体" w:eastAsia="楷体" w:cs="楷体"/>
                <w:kern w:val="0"/>
                <w:szCs w:val="21"/>
              </w:rPr>
            </w:pPr>
            <w:r>
              <w:rPr>
                <w:rFonts w:hint="eastAsia" w:ascii="楷体" w:hAnsi="楷体" w:eastAsia="楷体" w:cs="楷体"/>
                <w:kern w:val="0"/>
                <w:szCs w:val="21"/>
              </w:rPr>
              <w:t>[3]材料成型智能控制类人才培养体系探索与实践，教育部，2019，项目负责人</w:t>
            </w:r>
          </w:p>
          <w:p>
            <w:pPr>
              <w:spacing w:line="340" w:lineRule="atLeast"/>
              <w:rPr>
                <w:rFonts w:ascii="楷体" w:hAnsi="楷体" w:eastAsia="楷体" w:cs="楷体"/>
                <w:kern w:val="0"/>
                <w:szCs w:val="21"/>
              </w:rPr>
            </w:pPr>
            <w:r>
              <w:rPr>
                <w:rFonts w:hint="eastAsia" w:ascii="楷体" w:hAnsi="楷体" w:eastAsia="楷体" w:cs="楷体"/>
                <w:kern w:val="0"/>
                <w:szCs w:val="21"/>
              </w:rPr>
              <w:t>[4]基于新工科背景的材料成型及控制工程专业人才培养方案及课程体系的研究与设计，西华大学，2019，主研人员</w:t>
            </w:r>
          </w:p>
          <w:p>
            <w:pPr>
              <w:spacing w:line="340" w:lineRule="atLeast"/>
              <w:rPr>
                <w:rFonts w:ascii="楷体" w:hAnsi="楷体" w:eastAsia="楷体" w:cs="楷体"/>
                <w:kern w:val="0"/>
                <w:szCs w:val="21"/>
              </w:rPr>
            </w:pPr>
            <w:r>
              <w:rPr>
                <w:rFonts w:hint="eastAsia" w:ascii="楷体" w:hAnsi="楷体" w:eastAsia="楷体" w:cs="楷体"/>
                <w:kern w:val="0"/>
                <w:szCs w:val="21"/>
              </w:rPr>
              <w:t>[5]材料成型及控制工程工程教育认证，中国工程教育专业认证协会，2019，项目负责人</w:t>
            </w:r>
          </w:p>
          <w:p>
            <w:pPr>
              <w:spacing w:line="340" w:lineRule="atLeast"/>
              <w:rPr>
                <w:rFonts w:ascii="楷体" w:hAnsi="楷体" w:eastAsia="楷体" w:cs="楷体"/>
                <w:kern w:val="0"/>
                <w:szCs w:val="21"/>
              </w:rPr>
            </w:pPr>
            <w:r>
              <w:rPr>
                <w:rFonts w:hint="eastAsia" w:ascii="楷体" w:hAnsi="楷体" w:eastAsia="楷体" w:cs="楷体"/>
                <w:kern w:val="0"/>
                <w:szCs w:val="21"/>
              </w:rPr>
              <w:t>[6]教材建设-逆向创新设计与材料快速成型，西华大学，2019，项目负责人</w:t>
            </w:r>
          </w:p>
          <w:p>
            <w:pPr>
              <w:spacing w:line="340" w:lineRule="atLeast"/>
              <w:rPr>
                <w:rFonts w:ascii="楷体" w:hAnsi="楷体" w:eastAsia="楷体" w:cs="楷体"/>
                <w:kern w:val="0"/>
                <w:szCs w:val="21"/>
              </w:rPr>
            </w:pPr>
            <w:r>
              <w:rPr>
                <w:rFonts w:hint="eastAsia" w:ascii="楷体" w:hAnsi="楷体" w:eastAsia="楷体" w:cs="楷体"/>
                <w:kern w:val="0"/>
                <w:szCs w:val="21"/>
              </w:rPr>
              <w:t>[7]教材建设-材料成型CAD/CAE技术与应用，西华大学，2018，项目负责人</w:t>
            </w:r>
          </w:p>
          <w:p>
            <w:pPr>
              <w:spacing w:line="340" w:lineRule="atLeast"/>
              <w:rPr>
                <w:rFonts w:ascii="楷体" w:hAnsi="楷体" w:eastAsia="楷体" w:cs="楷体"/>
                <w:kern w:val="0"/>
                <w:szCs w:val="21"/>
              </w:rPr>
            </w:pPr>
            <w:r>
              <w:rPr>
                <w:rFonts w:hint="eastAsia" w:ascii="楷体" w:hAnsi="楷体" w:eastAsia="楷体" w:cs="楷体"/>
                <w:kern w:val="0"/>
                <w:szCs w:val="21"/>
              </w:rPr>
              <w:t>[8]在线慕课建设：三维数字化设计方法与应用，西华大学，2018，项目负责人</w:t>
            </w:r>
          </w:p>
          <w:p>
            <w:pPr>
              <w:spacing w:line="340" w:lineRule="atLeast"/>
              <w:rPr>
                <w:rFonts w:ascii="楷体" w:hAnsi="楷体" w:eastAsia="楷体" w:cs="楷体"/>
                <w:kern w:val="0"/>
                <w:szCs w:val="21"/>
              </w:rPr>
            </w:pPr>
            <w:r>
              <w:rPr>
                <w:rFonts w:hint="eastAsia" w:ascii="楷体" w:hAnsi="楷体" w:eastAsia="楷体" w:cs="楷体"/>
                <w:kern w:val="0"/>
                <w:szCs w:val="21"/>
              </w:rPr>
              <w:t>[9] “逆向设计及3D打印”创新创业实践实训平台的构建与运行机制研究，西华大学，2017，项目负责人</w:t>
            </w:r>
          </w:p>
          <w:p>
            <w:pPr>
              <w:spacing w:line="340" w:lineRule="atLeast"/>
              <w:rPr>
                <w:rFonts w:ascii="楷体" w:hAnsi="楷体" w:eastAsia="楷体" w:cs="楷体"/>
                <w:kern w:val="0"/>
                <w:szCs w:val="21"/>
              </w:rPr>
            </w:pPr>
            <w:r>
              <w:rPr>
                <w:rFonts w:hint="eastAsia" w:ascii="楷体" w:hAnsi="楷体" w:eastAsia="楷体" w:cs="楷体"/>
                <w:kern w:val="0"/>
                <w:szCs w:val="21"/>
              </w:rPr>
              <w:t>[10]材料成型及控制工程专业核心课程教学团队，西华大学，2018，主研</w:t>
            </w:r>
          </w:p>
          <w:p>
            <w:pPr>
              <w:spacing w:line="340" w:lineRule="atLeast"/>
              <w:rPr>
                <w:rFonts w:ascii="楷体" w:hAnsi="楷体" w:eastAsia="楷体" w:cs="楷体"/>
                <w:kern w:val="0"/>
                <w:szCs w:val="21"/>
              </w:rPr>
            </w:pPr>
            <w:r>
              <w:rPr>
                <w:rFonts w:hint="eastAsia" w:ascii="楷体" w:hAnsi="楷体" w:eastAsia="楷体" w:cs="楷体"/>
                <w:kern w:val="0"/>
                <w:szCs w:val="21"/>
              </w:rPr>
              <w:t>[11]材料成型CAD/CAE技术课程考试改革，西华大学，2015，项目负责人</w:t>
            </w:r>
          </w:p>
          <w:p>
            <w:pPr>
              <w:spacing w:line="340" w:lineRule="atLeast"/>
              <w:rPr>
                <w:rFonts w:ascii="楷体" w:hAnsi="楷体" w:eastAsia="楷体" w:cs="楷体"/>
                <w:kern w:val="0"/>
                <w:szCs w:val="21"/>
              </w:rPr>
            </w:pPr>
            <w:r>
              <w:rPr>
                <w:rFonts w:hint="eastAsia" w:ascii="楷体" w:hAnsi="楷体" w:eastAsia="楷体" w:cs="楷体"/>
                <w:b/>
                <w:bCs/>
                <w:kern w:val="0"/>
                <w:szCs w:val="21"/>
              </w:rPr>
              <w:t>三、出版的教材及教改论文</w:t>
            </w:r>
            <w:r>
              <w:rPr>
                <w:rFonts w:hint="eastAsia" w:ascii="楷体" w:hAnsi="楷体" w:eastAsia="楷体" w:cs="楷体"/>
                <w:kern w:val="0"/>
                <w:szCs w:val="21"/>
              </w:rPr>
              <w:t>：作为主编编著教材5部，其中《材料成形过程数值模拟》被认定为高等教育“十三五”规划教材，销量近3万册，教材被全国30余所高校采用。《材料成形CAD/CAE技术与应用》已申报首届全国优秀教材。发表数字化材料成型课程群相关教改论文6篇。</w:t>
            </w:r>
          </w:p>
          <w:p>
            <w:pPr>
              <w:spacing w:line="340" w:lineRule="atLeast"/>
              <w:rPr>
                <w:rFonts w:ascii="楷体" w:hAnsi="楷体" w:eastAsia="楷体" w:cs="楷体"/>
                <w:kern w:val="0"/>
                <w:sz w:val="24"/>
                <w:szCs w:val="24"/>
              </w:rPr>
            </w:pPr>
            <w:r>
              <w:rPr>
                <w:rFonts w:hint="eastAsia" w:ascii="楷体" w:hAnsi="楷体" w:eastAsia="楷体" w:cs="楷体"/>
                <w:b/>
                <w:bCs/>
                <w:kern w:val="0"/>
                <w:szCs w:val="21"/>
              </w:rPr>
              <w:t>四、近5年所获教学奖励表彰情况：</w:t>
            </w:r>
            <w:r>
              <w:rPr>
                <w:rFonts w:hint="eastAsia" w:ascii="楷体" w:hAnsi="楷体" w:eastAsia="楷体" w:cs="楷体"/>
                <w:kern w:val="0"/>
                <w:szCs w:val="21"/>
              </w:rPr>
              <w:t>2019年由高等教育学会主办的全国高等院校工程应用技术教师大赛中全国一等奖，西华大学教学成果一等奖，西华大学唐立新教学名师。</w:t>
            </w:r>
          </w:p>
          <w:p>
            <w:pPr>
              <w:spacing w:line="340" w:lineRule="atLeast"/>
              <w:rPr>
                <w:rFonts w:ascii="仿宋_GB2312" w:hAnsi="仿宋_GB2312" w:eastAsia="仿宋_GB2312" w:cs="仿宋_GB2312"/>
                <w:kern w:val="0"/>
                <w:sz w:val="24"/>
                <w:szCs w:val="24"/>
              </w:rPr>
            </w:pPr>
          </w:p>
          <w:p>
            <w:pPr>
              <w:spacing w:line="340" w:lineRule="atLeast"/>
              <w:rPr>
                <w:rFonts w:hint="eastAsia" w:ascii="楷体" w:hAnsi="楷体" w:eastAsia="楷体" w:cs="楷体"/>
                <w:kern w:val="0"/>
                <w:sz w:val="24"/>
                <w:szCs w:val="24"/>
              </w:rPr>
            </w:pPr>
          </w:p>
        </w:tc>
      </w:tr>
    </w:tbl>
    <w:p>
      <w:p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（结合本校办学定位、学生情况、专业人才培养要求，</w:t>
            </w:r>
            <w:r>
              <w:rPr>
                <w:rFonts w:hint="eastAsia" w:ascii="仿宋_GB2312" w:hAnsi="仿宋_GB2312" w:eastAsia="仿宋_GB2312" w:cs="仿宋_GB2312"/>
                <w:kern w:val="0"/>
                <w:sz w:val="24"/>
                <w:szCs w:val="20"/>
              </w:rPr>
              <w:t>具体描述学生学习本课程后能够获取的知识、培养的能力和塑造的价值</w:t>
            </w:r>
            <w:r>
              <w:rPr>
                <w:rFonts w:hint="eastAsia" w:ascii="仿宋_GB2312" w:hAnsi="仿宋_GB2312" w:eastAsia="仿宋_GB2312" w:cs="仿宋_GB2312"/>
                <w:kern w:val="0"/>
                <w:sz w:val="24"/>
                <w:szCs w:val="24"/>
              </w:rPr>
              <w:t>）</w:t>
            </w:r>
          </w:p>
          <w:p>
            <w:pPr>
              <w:adjustRightInd w:val="0"/>
              <w:snapToGrid w:val="0"/>
              <w:spacing w:line="264" w:lineRule="auto"/>
              <w:ind w:firstLine="367" w:firstLineChars="175"/>
              <w:jc w:val="left"/>
              <w:rPr>
                <w:rFonts w:ascii="仿宋_GB2312" w:hAnsi="仿宋_GB2312" w:eastAsia="AdobeSongStd-Light" w:cs="仿宋_GB2312"/>
                <w:kern w:val="0"/>
                <w:szCs w:val="21"/>
              </w:rPr>
            </w:pPr>
            <w:r>
              <w:rPr>
                <w:rFonts w:hint="eastAsia" w:ascii="仿宋_GB2312" w:hAnsi="仿宋_GB2312" w:eastAsia="仿宋_GB2312" w:cs="仿宋_GB2312"/>
                <w:kern w:val="0"/>
                <w:szCs w:val="21"/>
              </w:rPr>
              <w:t>材料成型及控制工程是西华大学的传统优势工科专业，至今已有43年的专业办学历史。本专业是四川省属高校中最早开设本科（1978年）和招收硕士生（1985年）的专业；专业依托的“材料加工工程”是四川省属高校中最早获得的重点学科（2003年）；2006年获批为四川省特色专业，2012年获准为四川省卓越工程师试点专业，2017年起在四川纳入一本招生，2019年通过工程教育认证，2020年获批为省级一流专业。</w:t>
            </w:r>
          </w:p>
          <w:p>
            <w:pPr>
              <w:adjustRightInd w:val="0"/>
              <w:snapToGrid w:val="0"/>
              <w:spacing w:line="264" w:lineRule="auto"/>
              <w:ind w:firstLine="420" w:firstLineChars="200"/>
              <w:rPr>
                <w:rFonts w:ascii="仿宋_GB2312" w:hAnsi="仿宋_GB2312" w:eastAsia="仿宋_GB2312" w:cs="仿宋_GB2312"/>
                <w:kern w:val="0"/>
                <w:szCs w:val="21"/>
              </w:rPr>
            </w:pPr>
            <w:r>
              <w:rPr>
                <w:rFonts w:hint="eastAsia" w:ascii="仿宋_GB2312" w:hAnsi="仿宋_GB2312" w:eastAsia="仿宋_GB2312" w:cs="仿宋_GB2312"/>
                <w:kern w:val="0"/>
                <w:szCs w:val="21"/>
              </w:rPr>
              <w:t>《材料成型CAD/CAE综合应用实践》为本专业的专业核心课，2个学分，32个学时，教学目标为：</w:t>
            </w:r>
          </w:p>
          <w:p>
            <w:pPr>
              <w:adjustRightInd w:val="0"/>
              <w:snapToGrid w:val="0"/>
              <w:spacing w:line="264" w:lineRule="auto"/>
              <w:ind w:firstLine="367" w:firstLineChars="175"/>
              <w:rPr>
                <w:rFonts w:ascii="仿宋_GB2312" w:hAnsi="仿宋_GB2312" w:eastAsia="仿宋_GB2312" w:cs="仿宋_GB2312"/>
                <w:kern w:val="0"/>
                <w:szCs w:val="21"/>
              </w:rPr>
            </w:pPr>
            <w:r>
              <w:rPr>
                <w:rFonts w:ascii="仿宋_GB2312" w:hAnsi="仿宋_GB2312" w:eastAsia="仿宋_GB2312" w:cs="仿宋_GB2312"/>
                <w:kern w:val="0"/>
                <w:szCs w:val="21"/>
              </w:rPr>
              <w:t>（1）通过社会实践，能进行合理的选题和制定产品创新设计方案。培养学生认识社会、研究社会、理解社会，并具有一定的创新能力和创业意识。</w:t>
            </w:r>
          </w:p>
          <w:p>
            <w:pPr>
              <w:adjustRightInd w:val="0"/>
              <w:snapToGrid w:val="0"/>
              <w:spacing w:line="264" w:lineRule="auto"/>
              <w:ind w:firstLine="367" w:firstLineChars="175"/>
              <w:rPr>
                <w:rFonts w:ascii="仿宋_GB2312" w:hAnsi="仿宋_GB2312" w:eastAsia="仿宋_GB2312" w:cs="仿宋_GB2312"/>
                <w:kern w:val="0"/>
                <w:szCs w:val="21"/>
              </w:rPr>
            </w:pPr>
            <w:r>
              <w:rPr>
                <w:rFonts w:ascii="仿宋_GB2312" w:hAnsi="仿宋_GB2312" w:eastAsia="仿宋_GB2312" w:cs="仿宋_GB2312"/>
                <w:kern w:val="0"/>
                <w:szCs w:val="21"/>
              </w:rPr>
              <w:t>（2）设计开发方案制定的时候能充分考虑法律、安全、效率与成本、环境健康等制约因素。培养具有社会责任感、创新精神、实践能力和服务意识的数字化工程技术人才。</w:t>
            </w:r>
          </w:p>
          <w:p>
            <w:pPr>
              <w:spacing w:line="340" w:lineRule="atLeast"/>
              <w:ind w:firstLine="420" w:firstLineChars="200"/>
              <w:rPr>
                <w:rFonts w:ascii="仿宋_GB2312" w:hAnsi="仿宋_GB2312" w:eastAsia="仿宋_GB2312" w:cs="仿宋_GB2312"/>
                <w:kern w:val="0"/>
                <w:sz w:val="24"/>
                <w:szCs w:val="24"/>
              </w:rPr>
            </w:pPr>
            <w:r>
              <w:rPr>
                <w:rFonts w:ascii="仿宋_GB2312" w:hAnsi="仿宋_GB2312" w:eastAsia="仿宋_GB2312" w:cs="仿宋_GB2312"/>
                <w:kern w:val="0"/>
                <w:szCs w:val="21"/>
              </w:rPr>
              <w:t>（3）能对自选产品进行三维数字化创新设计及分析，具备利用数字化技术进行研发新产品和开发新工艺的能力。培养学生专业知识运用能力和复杂工程问题解决能力。</w:t>
            </w:r>
          </w:p>
          <w:p>
            <w:pPr>
              <w:spacing w:line="340" w:lineRule="atLeast"/>
              <w:rPr>
                <w:rFonts w:hint="eastAsia"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课程学业考评方式，课程评价及改革成效等情况</w:t>
            </w:r>
            <w:r>
              <w:rPr>
                <w:rFonts w:hint="eastAsia" w:ascii="仿宋_GB2312" w:hAnsi="仿宋_GB2312" w:eastAsia="仿宋_GB2312" w:cs="仿宋_GB2312"/>
                <w:kern w:val="0"/>
                <w:sz w:val="24"/>
                <w:szCs w:val="24"/>
              </w:rPr>
              <w:t>）</w:t>
            </w:r>
          </w:p>
          <w:p>
            <w:pPr>
              <w:tabs>
                <w:tab w:val="left" w:pos="630"/>
              </w:tabs>
              <w:snapToGrid w:val="0"/>
              <w:spacing w:line="264" w:lineRule="auto"/>
              <w:rPr>
                <w:rFonts w:ascii="仿宋_GB2312" w:hAnsi="仿宋_GB2312" w:eastAsia="仿宋_GB2312" w:cs="仿宋_GB2312"/>
                <w:kern w:val="0"/>
                <w:szCs w:val="21"/>
              </w:rPr>
            </w:pPr>
            <w:r>
              <w:rPr>
                <w:rFonts w:hint="eastAsia" w:ascii="仿宋_GB2312" w:hAnsi="仿宋_GB2312" w:eastAsia="仿宋_GB2312" w:cs="仿宋_GB2312"/>
                <w:b/>
                <w:bCs/>
                <w:kern w:val="0"/>
                <w:szCs w:val="21"/>
              </w:rPr>
              <w:t xml:space="preserve">4.1本课程的建设发展历程  </w:t>
            </w:r>
            <w:r>
              <w:rPr>
                <w:rFonts w:hint="eastAsia" w:ascii="仿宋_GB2312" w:hAnsi="仿宋_GB2312" w:eastAsia="仿宋_GB2312" w:cs="仿宋_GB2312"/>
                <w:kern w:val="0"/>
                <w:szCs w:val="21"/>
              </w:rPr>
              <w:t xml:space="preserve"> </w:t>
            </w:r>
          </w:p>
          <w:p>
            <w:pPr>
              <w:tabs>
                <w:tab w:val="left" w:pos="630"/>
              </w:tabs>
              <w:snapToGrid w:val="0"/>
              <w:spacing w:line="264" w:lineRule="auto"/>
              <w:ind w:firstLine="420" w:firstLineChars="200"/>
              <w:rPr>
                <w:rFonts w:ascii="仿宋_GB2312" w:hAnsi="仿宋_GB2312" w:eastAsia="仿宋_GB2312" w:cs="仿宋_GB2312"/>
                <w:kern w:val="0"/>
                <w:szCs w:val="21"/>
              </w:rPr>
            </w:pPr>
            <w:r>
              <w:rPr>
                <w:rFonts w:hint="eastAsia" w:ascii="仿宋_GB2312" w:hAnsi="仿宋_GB2312" w:eastAsia="仿宋_GB2312" w:cs="仿宋_GB2312"/>
                <w:kern w:val="0"/>
                <w:szCs w:val="21"/>
              </w:rPr>
              <w:t>课程已开设15年，期间经历了3次发展进阶。</w:t>
            </w:r>
          </w:p>
          <w:p>
            <w:pPr>
              <w:tabs>
                <w:tab w:val="left" w:pos="630"/>
              </w:tabs>
              <w:snapToGrid w:val="0"/>
              <w:spacing w:line="264" w:lineRule="auto"/>
              <w:ind w:firstLine="422" w:firstLineChars="200"/>
              <w:rPr>
                <w:rFonts w:ascii="仿宋_GB2312" w:hAnsi="仿宋_GB2312" w:eastAsia="仿宋_GB2312" w:cs="仿宋_GB2312"/>
                <w:b/>
                <w:bCs/>
                <w:kern w:val="0"/>
                <w:szCs w:val="21"/>
              </w:rPr>
            </w:pPr>
            <w:r>
              <w:rPr>
                <w:rFonts w:hint="eastAsia" w:ascii="仿宋_GB2312" w:hAnsi="仿宋_GB2312" w:eastAsia="仿宋_GB2312" w:cs="仿宋_GB2312"/>
                <w:b/>
                <w:bCs/>
                <w:kern w:val="0"/>
                <w:szCs w:val="21"/>
              </w:rPr>
              <w:t>2005-2010年：结合</w:t>
            </w:r>
            <w:r>
              <w:rPr>
                <w:rFonts w:hint="eastAsia" w:ascii="仿宋_GB2312" w:hAnsi="仿宋_GB2312" w:eastAsia="仿宋_GB2312" w:cs="仿宋_GB2312"/>
                <w:b/>
                <w:bCs/>
                <w:color w:val="auto"/>
                <w:kern w:val="0"/>
                <w:szCs w:val="21"/>
                <w:lang w:val="en-US" w:eastAsia="zh-CN"/>
              </w:rPr>
              <w:t>省</w:t>
            </w:r>
            <w:r>
              <w:rPr>
                <w:rFonts w:hint="eastAsia" w:ascii="仿宋_GB2312" w:hAnsi="仿宋_GB2312" w:eastAsia="仿宋_GB2312" w:cs="仿宋_GB2312"/>
                <w:b/>
                <w:bCs/>
                <w:color w:val="auto"/>
                <w:kern w:val="0"/>
                <w:szCs w:val="21"/>
              </w:rPr>
              <w:t>级特色专业建设</w:t>
            </w:r>
            <w:r>
              <w:rPr>
                <w:rFonts w:hint="eastAsia" w:ascii="仿宋_GB2312" w:hAnsi="仿宋_GB2312" w:eastAsia="仿宋_GB2312" w:cs="仿宋_GB2312"/>
                <w:b/>
                <w:bCs/>
                <w:kern w:val="0"/>
                <w:szCs w:val="21"/>
              </w:rPr>
              <w:t>，不断优化课程教学内容。学生根据教师设定项目任务，在校内按要求完成三维创新设计和三维数字化分析。</w:t>
            </w:r>
          </w:p>
          <w:p>
            <w:pPr>
              <w:tabs>
                <w:tab w:val="left" w:pos="630"/>
              </w:tabs>
              <w:snapToGrid w:val="0"/>
              <w:spacing w:line="264" w:lineRule="auto"/>
              <w:ind w:firstLine="420" w:firstLineChars="200"/>
              <w:rPr>
                <w:rFonts w:ascii="仿宋_GB2312" w:hAnsi="仿宋_GB2312" w:eastAsia="仿宋_GB2312" w:cs="仿宋_GB2312"/>
                <w:kern w:val="0"/>
                <w:szCs w:val="21"/>
              </w:rPr>
            </w:pPr>
            <w:r>
              <w:rPr>
                <w:rFonts w:hint="eastAsia" w:ascii="仿宋_GB2312" w:hAnsi="仿宋_GB2312" w:eastAsia="仿宋_GB2312" w:cs="仿宋_GB2312"/>
                <w:kern w:val="0"/>
                <w:szCs w:val="21"/>
              </w:rPr>
              <w:t>（1）编著教材《材料成形过程数值模拟》；被认定为“十三五”规划教材，至今被全国30多所学校选用。</w:t>
            </w:r>
          </w:p>
          <w:p>
            <w:pPr>
              <w:tabs>
                <w:tab w:val="left" w:pos="630"/>
              </w:tabs>
              <w:snapToGrid w:val="0"/>
              <w:spacing w:line="264" w:lineRule="auto"/>
              <w:ind w:firstLine="420" w:firstLineChars="200"/>
              <w:rPr>
                <w:rFonts w:ascii="仿宋_GB2312" w:hAnsi="仿宋_GB2312" w:eastAsia="仿宋_GB2312" w:cs="仿宋_GB2312"/>
                <w:kern w:val="0"/>
                <w:szCs w:val="21"/>
              </w:rPr>
            </w:pPr>
            <w:r>
              <w:rPr>
                <w:rFonts w:hint="eastAsia" w:ascii="仿宋_GB2312" w:hAnsi="仿宋_GB2312" w:eastAsia="仿宋_GB2312" w:cs="仿宋_GB2312"/>
                <w:kern w:val="0"/>
                <w:szCs w:val="21"/>
              </w:rPr>
              <w:t>（2）教学团队负责人获青年讲课比赛获校级二等奖；</w:t>
            </w:r>
          </w:p>
          <w:p>
            <w:pPr>
              <w:tabs>
                <w:tab w:val="left" w:pos="630"/>
              </w:tabs>
              <w:snapToGrid w:val="0"/>
              <w:spacing w:line="264" w:lineRule="auto"/>
              <w:ind w:firstLine="420" w:firstLineChars="200"/>
              <w:rPr>
                <w:rFonts w:ascii="仿宋_GB2312" w:hAnsi="仿宋_GB2312" w:eastAsia="仿宋_GB2312" w:cs="仿宋_GB2312"/>
                <w:kern w:val="0"/>
                <w:szCs w:val="21"/>
              </w:rPr>
            </w:pPr>
            <w:r>
              <w:rPr>
                <w:rFonts w:hint="eastAsia" w:ascii="仿宋_GB2312" w:hAnsi="仿宋_GB2312" w:eastAsia="仿宋_GB2312" w:cs="仿宋_GB2312"/>
                <w:kern w:val="0"/>
                <w:szCs w:val="21"/>
              </w:rPr>
              <w:t>（3）2009年首次参加全国三维数字化设计大赛获全国二等奖。</w:t>
            </w:r>
          </w:p>
          <w:p>
            <w:pPr>
              <w:tabs>
                <w:tab w:val="left" w:pos="630"/>
              </w:tabs>
              <w:snapToGrid w:val="0"/>
              <w:spacing w:line="264" w:lineRule="auto"/>
              <w:rPr>
                <w:rFonts w:ascii="仿宋_GB2312" w:hAnsi="仿宋_GB2312" w:eastAsia="仿宋_GB2312" w:cs="仿宋_GB2312"/>
                <w:b/>
                <w:bCs/>
                <w:kern w:val="0"/>
                <w:szCs w:val="21"/>
              </w:rPr>
            </w:pPr>
            <w:r>
              <w:rPr>
                <w:rFonts w:hint="eastAsia" w:ascii="仿宋_GB2312" w:hAnsi="仿宋_GB2312" w:eastAsia="仿宋_GB2312" w:cs="仿宋_GB2312"/>
                <w:b/>
                <w:bCs/>
                <w:kern w:val="0"/>
                <w:szCs w:val="21"/>
              </w:rPr>
              <w:t>2011-2015年：结合专业卓越工程师培养计划，课程采用“先调研、再选题”方式。课程由校内实践转向校内校外相结合的方式。</w:t>
            </w:r>
          </w:p>
          <w:p>
            <w:pPr>
              <w:tabs>
                <w:tab w:val="left" w:pos="630"/>
              </w:tabs>
              <w:snapToGrid w:val="0"/>
              <w:spacing w:line="264" w:lineRule="auto"/>
              <w:ind w:firstLine="218" w:firstLineChars="104"/>
              <w:rPr>
                <w:rFonts w:ascii="仿宋_GB2312" w:hAnsi="仿宋_GB2312" w:eastAsia="仿宋_GB2312" w:cs="仿宋_GB2312"/>
                <w:kern w:val="0"/>
                <w:szCs w:val="21"/>
              </w:rPr>
            </w:pPr>
            <w:r>
              <w:rPr>
                <w:rFonts w:hint="eastAsia" w:ascii="仿宋_GB2312" w:hAnsi="仿宋_GB2312" w:eastAsia="仿宋_GB2312" w:cs="仿宋_GB2312"/>
                <w:kern w:val="0"/>
                <w:szCs w:val="21"/>
              </w:rPr>
              <w:t>（1）与“卓越班”学生共同成立“成都传奇三维设计工作室”，开展第二课堂的创新创业实践活动，受到国家级大学生创新创业及“西华杯”创新创业项目的支持；</w:t>
            </w:r>
          </w:p>
          <w:p>
            <w:pPr>
              <w:tabs>
                <w:tab w:val="left" w:pos="630"/>
              </w:tabs>
              <w:snapToGrid w:val="0"/>
              <w:spacing w:line="264" w:lineRule="auto"/>
              <w:ind w:firstLine="218" w:firstLineChars="104"/>
              <w:rPr>
                <w:rFonts w:ascii="仿宋_GB2312" w:hAnsi="仿宋_GB2312" w:eastAsia="仿宋_GB2312" w:cs="仿宋_GB2312"/>
                <w:kern w:val="0"/>
                <w:szCs w:val="21"/>
              </w:rPr>
            </w:pPr>
            <w:r>
              <w:rPr>
                <w:rFonts w:hint="eastAsia" w:ascii="仿宋_GB2312" w:hAnsi="仿宋_GB2312" w:eastAsia="仿宋_GB2312" w:cs="仿宋_GB2312"/>
                <w:kern w:val="0"/>
                <w:szCs w:val="21"/>
              </w:rPr>
              <w:t>（2）指导“卓越班”学生连年参加“挑战杯”、全国三维数字化创新设计大赛等学科竞赛，每年获奖人次达50人次；</w:t>
            </w:r>
          </w:p>
          <w:p>
            <w:pPr>
              <w:tabs>
                <w:tab w:val="left" w:pos="630"/>
              </w:tabs>
              <w:snapToGrid w:val="0"/>
              <w:spacing w:line="264" w:lineRule="auto"/>
              <w:ind w:firstLine="218" w:firstLineChars="104"/>
              <w:rPr>
                <w:rFonts w:ascii="仿宋_GB2312" w:hAnsi="仿宋_GB2312" w:eastAsia="仿宋_GB2312" w:cs="仿宋_GB2312"/>
                <w:kern w:val="0"/>
                <w:szCs w:val="21"/>
              </w:rPr>
            </w:pPr>
            <w:r>
              <w:rPr>
                <w:rFonts w:hint="eastAsia" w:ascii="仿宋_GB2312" w:hAnsi="仿宋_GB2312" w:eastAsia="仿宋_GB2312" w:cs="仿宋_GB2312"/>
                <w:kern w:val="0"/>
                <w:szCs w:val="21"/>
              </w:rPr>
              <w:t>（3）获省级教学成果二等奖2项。</w:t>
            </w:r>
          </w:p>
          <w:p>
            <w:pPr>
              <w:tabs>
                <w:tab w:val="left" w:pos="630"/>
              </w:tabs>
              <w:snapToGrid w:val="0"/>
              <w:spacing w:line="264" w:lineRule="auto"/>
              <w:rPr>
                <w:rFonts w:ascii="仿宋_GB2312" w:hAnsi="仿宋_GB2312" w:eastAsia="仿宋_GB2312" w:cs="仿宋_GB2312"/>
                <w:b/>
                <w:bCs/>
                <w:kern w:val="0"/>
                <w:szCs w:val="21"/>
              </w:rPr>
            </w:pPr>
            <w:r>
              <w:rPr>
                <w:rFonts w:hint="eastAsia" w:ascii="仿宋_GB2312" w:hAnsi="仿宋_GB2312" w:eastAsia="仿宋_GB2312" w:cs="仿宋_GB2312"/>
                <w:b/>
                <w:bCs/>
                <w:kern w:val="0"/>
                <w:szCs w:val="21"/>
              </w:rPr>
              <w:t>2015年-至今：助力脱贫攻坚、乡村振兴战略，课程设计了“丘陵小农机”等多个主题开展社会实践活动。</w:t>
            </w:r>
          </w:p>
          <w:p>
            <w:pPr>
              <w:numPr>
                <w:ilvl w:val="0"/>
                <w:numId w:val="2"/>
              </w:numPr>
              <w:tabs>
                <w:tab w:val="left" w:pos="630"/>
              </w:tabs>
              <w:snapToGrid w:val="0"/>
              <w:spacing w:line="264" w:lineRule="auto"/>
              <w:ind w:firstLine="218" w:firstLineChars="104"/>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获批为四川省创新创业示范课程；</w:t>
            </w:r>
          </w:p>
          <w:p>
            <w:pPr>
              <w:numPr>
                <w:ilvl w:val="0"/>
                <w:numId w:val="2"/>
              </w:numPr>
              <w:tabs>
                <w:tab w:val="left" w:pos="630"/>
              </w:tabs>
              <w:snapToGrid w:val="0"/>
              <w:spacing w:line="264" w:lineRule="auto"/>
              <w:ind w:firstLine="218" w:firstLineChars="104"/>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val="en-US" w:eastAsia="zh-CN"/>
              </w:rPr>
              <w:t>获批为四川省一流课程（社会实践类）</w:t>
            </w:r>
          </w:p>
          <w:p>
            <w:pPr>
              <w:tabs>
                <w:tab w:val="left" w:pos="630"/>
              </w:tabs>
              <w:snapToGrid w:val="0"/>
              <w:spacing w:line="264" w:lineRule="auto"/>
              <w:ind w:firstLine="218" w:firstLineChars="104"/>
              <w:rPr>
                <w:rFonts w:ascii="仿宋_GB2312" w:hAnsi="仿宋_GB2312" w:eastAsia="仿宋_GB2312" w:cs="仿宋_GB2312"/>
                <w:kern w:val="0"/>
                <w:szCs w:val="21"/>
              </w:rPr>
            </w:pPr>
            <w:r>
              <w:rPr>
                <w:rFonts w:hint="eastAsia" w:ascii="仿宋_GB2312" w:hAnsi="仿宋_GB2312" w:eastAsia="仿宋_GB2312" w:cs="仿宋_GB2312"/>
                <w:kern w:val="0"/>
                <w:szCs w:val="21"/>
              </w:rPr>
              <w:t>（2）出版</w:t>
            </w:r>
            <w:r>
              <w:rPr>
                <w:rFonts w:hint="eastAsia" w:ascii="仿宋_GB2312" w:hAnsi="仿宋_GB2312" w:eastAsia="仿宋_GB2312" w:cs="仿宋_GB2312"/>
                <w:kern w:val="0"/>
                <w:szCs w:val="21"/>
                <w:lang w:val="en-US" w:eastAsia="zh-CN"/>
              </w:rPr>
              <w:t>配套</w:t>
            </w:r>
            <w:r>
              <w:rPr>
                <w:rFonts w:hint="eastAsia" w:ascii="仿宋_GB2312" w:hAnsi="仿宋_GB2312" w:eastAsia="仿宋_GB2312" w:cs="仿宋_GB2312"/>
                <w:kern w:val="0"/>
                <w:szCs w:val="21"/>
              </w:rPr>
              <w:t>教材《材料成形CAD/CAE技术与应用》；</w:t>
            </w:r>
          </w:p>
          <w:p>
            <w:pPr>
              <w:tabs>
                <w:tab w:val="left" w:pos="630"/>
              </w:tabs>
              <w:snapToGrid w:val="0"/>
              <w:spacing w:line="264" w:lineRule="auto"/>
              <w:ind w:firstLine="218" w:firstLineChars="104"/>
              <w:rPr>
                <w:rFonts w:ascii="仿宋_GB2312" w:hAnsi="仿宋_GB2312" w:eastAsia="仿宋_GB2312" w:cs="仿宋_GB2312"/>
                <w:kern w:val="0"/>
                <w:szCs w:val="21"/>
              </w:rPr>
            </w:pPr>
            <w:r>
              <w:rPr>
                <w:rFonts w:hint="eastAsia" w:ascii="仿宋_GB2312" w:hAnsi="仿宋_GB2312" w:eastAsia="仿宋_GB2312" w:cs="仿宋_GB2312"/>
                <w:kern w:val="0"/>
                <w:szCs w:val="21"/>
              </w:rPr>
              <w:t>（3）教学团队负责人获</w:t>
            </w:r>
            <w:r>
              <w:rPr>
                <w:rFonts w:hint="eastAsia" w:ascii="仿宋_GB2312" w:hAnsi="仿宋_GB2312" w:eastAsia="仿宋_GB2312" w:cs="仿宋_GB2312"/>
                <w:kern w:val="0"/>
                <w:szCs w:val="21"/>
                <w:lang w:eastAsia="zh-CN"/>
              </w:rPr>
              <w:t>“</w:t>
            </w:r>
            <w:r>
              <w:rPr>
                <w:rFonts w:hint="eastAsia" w:ascii="仿宋_GB2312" w:hAnsi="仿宋_GB2312" w:eastAsia="仿宋_GB2312" w:cs="仿宋_GB2312"/>
                <w:kern w:val="0"/>
                <w:szCs w:val="21"/>
              </w:rPr>
              <w:t>唐立新</w:t>
            </w:r>
            <w:r>
              <w:rPr>
                <w:rFonts w:hint="eastAsia" w:ascii="仿宋_GB2312" w:hAnsi="仿宋_GB2312" w:eastAsia="仿宋_GB2312" w:cs="仿宋_GB2312"/>
                <w:kern w:val="0"/>
                <w:szCs w:val="21"/>
                <w:lang w:eastAsia="zh-CN"/>
              </w:rPr>
              <w:t>”</w:t>
            </w:r>
            <w:r>
              <w:rPr>
                <w:rFonts w:hint="eastAsia" w:ascii="仿宋_GB2312" w:hAnsi="仿宋_GB2312" w:eastAsia="仿宋_GB2312" w:cs="仿宋_GB2312"/>
                <w:kern w:val="0"/>
                <w:szCs w:val="21"/>
              </w:rPr>
              <w:t>教学名师；</w:t>
            </w:r>
          </w:p>
          <w:p>
            <w:pPr>
              <w:tabs>
                <w:tab w:val="left" w:pos="630"/>
              </w:tabs>
              <w:snapToGrid w:val="0"/>
              <w:spacing w:line="264" w:lineRule="auto"/>
              <w:ind w:firstLine="218" w:firstLineChars="104"/>
              <w:rPr>
                <w:rFonts w:ascii="仿宋_GB2312" w:hAnsi="仿宋_GB2312" w:eastAsia="仿宋_GB2312" w:cs="仿宋_GB2312"/>
                <w:kern w:val="0"/>
                <w:szCs w:val="21"/>
              </w:rPr>
            </w:pPr>
            <w:r>
              <w:rPr>
                <w:rFonts w:hint="eastAsia" w:ascii="仿宋_GB2312" w:hAnsi="仿宋_GB2312" w:eastAsia="仿宋_GB2312" w:cs="仿宋_GB2312"/>
                <w:kern w:val="0"/>
                <w:szCs w:val="21"/>
              </w:rPr>
              <w:t>（4）在超星平台上线本课程线上课程；</w:t>
            </w:r>
          </w:p>
          <w:p>
            <w:pPr>
              <w:tabs>
                <w:tab w:val="left" w:pos="630"/>
              </w:tabs>
              <w:snapToGrid w:val="0"/>
              <w:spacing w:line="264" w:lineRule="auto"/>
              <w:ind w:firstLine="218" w:firstLineChars="104"/>
              <w:rPr>
                <w:rFonts w:ascii="仿宋_GB2312" w:hAnsi="仿宋_GB2312" w:eastAsia="仿宋_GB2312" w:cs="仿宋_GB2312"/>
                <w:kern w:val="0"/>
                <w:szCs w:val="21"/>
              </w:rPr>
            </w:pPr>
            <w:r>
              <w:rPr>
                <w:rFonts w:hint="eastAsia" w:ascii="仿宋_GB2312" w:hAnsi="仿宋_GB2312" w:eastAsia="仿宋_GB2312" w:cs="仿宋_GB2312"/>
                <w:kern w:val="0"/>
                <w:szCs w:val="21"/>
              </w:rPr>
              <w:t>（5）在</w:t>
            </w:r>
            <w:r>
              <w:rPr>
                <w:rFonts w:hint="eastAsia" w:ascii="仿宋_GB2312" w:hAnsi="Times New Roman" w:eastAsia="仿宋_GB2312" w:cs="仿宋_GB2312"/>
                <w:szCs w:val="21"/>
              </w:rPr>
              <w:t>全国高等院校工程应用技术教师大赛中</w:t>
            </w:r>
            <w:r>
              <w:rPr>
                <w:rFonts w:hint="eastAsia" w:ascii="仿宋_GB2312" w:hAnsi="仿宋_GB2312" w:eastAsia="仿宋_GB2312" w:cs="仿宋_GB2312"/>
                <w:kern w:val="0"/>
                <w:szCs w:val="21"/>
              </w:rPr>
              <w:t>获全国比赛一等奖。</w:t>
            </w:r>
          </w:p>
          <w:p>
            <w:pPr>
              <w:spacing w:line="264" w:lineRule="auto"/>
              <w:rPr>
                <w:rFonts w:ascii="仿宋_GB2312" w:hAnsi="仿宋_GB2312" w:eastAsia="仿宋_GB2312" w:cs="仿宋_GB2312"/>
                <w:b/>
                <w:bCs/>
                <w:kern w:val="0"/>
                <w:szCs w:val="21"/>
              </w:rPr>
            </w:pPr>
            <w:r>
              <w:rPr>
                <w:rFonts w:hint="eastAsia" w:ascii="仿宋_GB2312" w:hAnsi="仿宋_GB2312" w:eastAsia="仿宋_GB2312" w:cs="仿宋_GB2312"/>
                <w:b/>
                <w:bCs/>
                <w:kern w:val="0"/>
                <w:szCs w:val="21"/>
              </w:rPr>
              <w:t>4.2 课程与教学改革要解决的重点问题</w:t>
            </w:r>
          </w:p>
          <w:p>
            <w:pPr>
              <w:tabs>
                <w:tab w:val="left" w:pos="630"/>
              </w:tabs>
              <w:snapToGrid w:val="0"/>
              <w:spacing w:line="264" w:lineRule="auto"/>
              <w:ind w:firstLine="218" w:firstLineChars="104"/>
              <w:rPr>
                <w:rFonts w:ascii="仿宋_GB2312" w:hAnsi="仿宋_GB2312" w:eastAsia="仿宋_GB2312" w:cs="仿宋_GB2312"/>
                <w:kern w:val="0"/>
                <w:szCs w:val="21"/>
              </w:rPr>
            </w:pPr>
            <w:r>
              <w:rPr>
                <w:rFonts w:hint="eastAsia" w:ascii="仿宋_GB2312" w:hAnsi="仿宋_GB2312" w:eastAsia="仿宋_GB2312" w:cs="仿宋_GB2312"/>
                <w:kern w:val="0"/>
                <w:szCs w:val="21"/>
              </w:rPr>
              <w:t>（1）实践活动集中在校内，选题与社会需求脱节，学生无法认识社会、研究社会、理解社会。</w:t>
            </w:r>
          </w:p>
          <w:p>
            <w:pPr>
              <w:tabs>
                <w:tab w:val="left" w:pos="630"/>
              </w:tabs>
              <w:snapToGrid w:val="0"/>
              <w:spacing w:line="264" w:lineRule="auto"/>
              <w:ind w:firstLine="218" w:firstLineChars="104"/>
              <w:rPr>
                <w:rFonts w:ascii="仿宋_GB2312" w:hAnsi="仿宋_GB2312" w:eastAsia="仿宋_GB2312" w:cs="仿宋_GB2312"/>
                <w:kern w:val="0"/>
                <w:szCs w:val="21"/>
              </w:rPr>
            </w:pPr>
            <w:r>
              <w:rPr>
                <w:rFonts w:hint="eastAsia" w:ascii="仿宋_GB2312" w:hAnsi="仿宋_GB2312" w:eastAsia="仿宋_GB2312" w:cs="仿宋_GB2312"/>
                <w:kern w:val="0"/>
                <w:szCs w:val="21"/>
              </w:rPr>
              <w:t>（2）校内开展的实践活动无法实现“基础-综合-应用-创新创业”能力的培养要求，无法增强学生的创新精神、实践能力和社会责任感。</w:t>
            </w:r>
          </w:p>
          <w:p>
            <w:pPr>
              <w:tabs>
                <w:tab w:val="left" w:pos="630"/>
              </w:tabs>
              <w:snapToGrid w:val="0"/>
              <w:spacing w:line="264" w:lineRule="auto"/>
              <w:ind w:firstLine="218" w:firstLineChars="104"/>
              <w:rPr>
                <w:rFonts w:ascii="仿宋_GB2312" w:hAnsi="仿宋_GB2312" w:eastAsia="仿宋_GB2312" w:cs="仿宋_GB2312"/>
                <w:kern w:val="0"/>
                <w:szCs w:val="21"/>
              </w:rPr>
            </w:pPr>
            <w:r>
              <w:rPr>
                <w:rFonts w:hint="eastAsia" w:ascii="仿宋_GB2312" w:hAnsi="仿宋_GB2312" w:eastAsia="仿宋_GB2312" w:cs="仿宋_GB2312"/>
                <w:kern w:val="0"/>
                <w:szCs w:val="21"/>
              </w:rPr>
              <w:t>（3）社会实践开展形式及主题不明，考评体系及评价方式无法科学全面的评价。</w:t>
            </w:r>
          </w:p>
          <w:p>
            <w:pPr>
              <w:tabs>
                <w:tab w:val="left" w:pos="630"/>
              </w:tabs>
              <w:snapToGrid w:val="0"/>
              <w:spacing w:line="264" w:lineRule="auto"/>
              <w:ind w:firstLine="218" w:firstLineChars="104"/>
              <w:rPr>
                <w:rFonts w:ascii="仿宋_GB2312" w:hAnsi="仿宋_GB2312" w:eastAsia="仿宋_GB2312" w:cs="仿宋_GB2312"/>
                <w:b/>
                <w:bCs/>
                <w:kern w:val="0"/>
                <w:szCs w:val="21"/>
              </w:rPr>
            </w:pPr>
            <w:r>
              <w:rPr>
                <w:rFonts w:hint="eastAsia" w:ascii="仿宋_GB2312" w:hAnsi="仿宋_GB2312" w:eastAsia="仿宋_GB2312" w:cs="仿宋_GB2312"/>
                <w:kern w:val="0"/>
                <w:szCs w:val="21"/>
              </w:rPr>
              <w:t>（4）专业教育与创新创业教育的结合程度还不够高，缺乏专创融合的师资队伍。</w:t>
            </w:r>
          </w:p>
          <w:p>
            <w:pPr>
              <w:spacing w:line="264" w:lineRule="auto"/>
              <w:rPr>
                <w:rFonts w:ascii="仿宋_GB2312" w:hAnsi="仿宋_GB2312" w:eastAsia="仿宋_GB2312" w:cs="仿宋_GB2312"/>
                <w:b/>
                <w:bCs/>
                <w:kern w:val="0"/>
                <w:szCs w:val="21"/>
              </w:rPr>
            </w:pPr>
            <w:r>
              <w:rPr>
                <w:rFonts w:hint="eastAsia" w:ascii="仿宋_GB2312" w:hAnsi="仿宋_GB2312" w:eastAsia="仿宋_GB2312" w:cs="仿宋_GB2312"/>
                <w:b/>
                <w:bCs/>
                <w:kern w:val="0"/>
                <w:szCs w:val="21"/>
              </w:rPr>
              <w:t>4.3 资源建设及应用情况</w:t>
            </w:r>
          </w:p>
          <w:p>
            <w:pPr>
              <w:tabs>
                <w:tab w:val="left" w:pos="630"/>
              </w:tabs>
              <w:adjustRightInd w:val="0"/>
              <w:snapToGrid w:val="0"/>
              <w:spacing w:before="62" w:beforeLines="20" w:line="264" w:lineRule="auto"/>
              <w:rPr>
                <w:rFonts w:ascii="仿宋_GB2312" w:hAnsi="仿宋_GB2312" w:eastAsia="仿宋_GB2312" w:cs="仿宋_GB2312"/>
                <w:b/>
                <w:bCs/>
                <w:kern w:val="0"/>
                <w:szCs w:val="21"/>
              </w:rPr>
            </w:pPr>
            <w:r>
              <w:rPr>
                <w:rFonts w:hint="eastAsia" w:ascii="仿宋_GB2312" w:hAnsi="仿宋_GB2312" w:eastAsia="仿宋_GB2312" w:cs="仿宋_GB2312"/>
                <w:b/>
                <w:bCs/>
                <w:kern w:val="0"/>
                <w:szCs w:val="21"/>
              </w:rPr>
              <w:t>（1）建立了社会实践“社会调研、创新设计、成果推广”三级培养体系</w:t>
            </w:r>
          </w:p>
          <w:p>
            <w:pPr>
              <w:tabs>
                <w:tab w:val="left" w:pos="630"/>
              </w:tabs>
              <w:snapToGrid w:val="0"/>
              <w:spacing w:line="264" w:lineRule="auto"/>
              <w:ind w:firstLine="420" w:firstLineChars="200"/>
              <w:rPr>
                <w:rFonts w:ascii="仿宋_GB2312" w:hAnsi="仿宋_GB2312" w:eastAsia="仿宋_GB2312" w:cs="仿宋_GB2312"/>
                <w:kern w:val="0"/>
                <w:szCs w:val="21"/>
              </w:rPr>
            </w:pPr>
            <w:r>
              <w:rPr>
                <w:rFonts w:hint="eastAsia" w:ascii="仿宋_GB2312" w:hAnsi="仿宋_GB2312" w:eastAsia="仿宋_GB2312" w:cs="仿宋_GB2312"/>
                <w:kern w:val="0"/>
                <w:szCs w:val="21"/>
              </w:rPr>
              <w:t>学生首先进行必要的校外社会实践，确定题目及任务后，在校内（或校外）进行产品的创新设计和工艺优化，然后再通过校外社会实践来不断优化设计，最后将创新产品进行线上或线下推广展示。</w:t>
            </w:r>
          </w:p>
          <w:p>
            <w:pPr>
              <w:tabs>
                <w:tab w:val="left" w:pos="630"/>
              </w:tabs>
              <w:adjustRightInd w:val="0"/>
              <w:snapToGrid w:val="0"/>
              <w:spacing w:line="264" w:lineRule="auto"/>
              <w:rPr>
                <w:rFonts w:ascii="仿宋_GB2312" w:hAnsi="仿宋_GB2312" w:eastAsia="仿宋_GB2312" w:cs="仿宋_GB2312"/>
                <w:b/>
                <w:bCs/>
                <w:kern w:val="0"/>
                <w:szCs w:val="21"/>
              </w:rPr>
            </w:pPr>
            <w:r>
              <w:rPr>
                <w:rFonts w:hint="eastAsia" w:ascii="仿宋_GB2312" w:hAnsi="仿宋_GB2312" w:eastAsia="仿宋_GB2312" w:cs="仿宋_GB2312"/>
                <w:b/>
                <w:bCs/>
                <w:kern w:val="0"/>
                <w:szCs w:val="21"/>
              </w:rPr>
              <w:t>（2）设置了“丘陵小农机”、“农用小工具”“生活小家电”、“儿童小玩具”及当年社会热点等主题，助力脱贫攻坚、服务乡村振兴战略。</w:t>
            </w:r>
          </w:p>
          <w:p>
            <w:pPr>
              <w:tabs>
                <w:tab w:val="left" w:pos="630"/>
              </w:tabs>
              <w:adjustRightInd w:val="0"/>
              <w:snapToGrid w:val="0"/>
              <w:spacing w:line="264" w:lineRule="auto"/>
              <w:rPr>
                <w:rFonts w:ascii="仿宋_GB2312" w:hAnsi="仿宋_GB2312" w:eastAsia="仿宋_GB2312" w:cs="仿宋_GB2312"/>
                <w:b/>
                <w:bCs/>
                <w:kern w:val="0"/>
                <w:szCs w:val="21"/>
              </w:rPr>
            </w:pPr>
            <w:r>
              <w:rPr>
                <w:rFonts w:hint="eastAsia" w:ascii="仿宋_GB2312" w:hAnsi="仿宋_GB2312" w:eastAsia="仿宋_GB2312" w:cs="仿宋_GB2312"/>
                <w:b/>
                <w:bCs/>
                <w:kern w:val="0"/>
                <w:szCs w:val="21"/>
              </w:rPr>
              <w:t>（3）建立了“校外+校内”、“线上+线下”等多种形式实践基地</w:t>
            </w:r>
          </w:p>
          <w:p>
            <w:pPr>
              <w:tabs>
                <w:tab w:val="left" w:pos="630"/>
              </w:tabs>
              <w:snapToGrid w:val="0"/>
              <w:spacing w:line="264" w:lineRule="auto"/>
              <w:ind w:firstLine="218" w:firstLineChars="104"/>
              <w:rPr>
                <w:rFonts w:ascii="仿宋_GB2312" w:hAnsi="仿宋_GB2312" w:eastAsia="仿宋_GB2312" w:cs="仿宋_GB2312"/>
                <w:kern w:val="0"/>
                <w:szCs w:val="21"/>
              </w:rPr>
            </w:pPr>
            <w:r>
              <w:rPr>
                <w:rFonts w:hint="eastAsia" w:ascii="仿宋_GB2312" w:hAnsi="仿宋_GB2312" w:eastAsia="仿宋_GB2312" w:cs="仿宋_GB2312"/>
                <w:kern w:val="0"/>
                <w:szCs w:val="21"/>
              </w:rPr>
              <w:t>建立了彭州市磁峰镇、汶川县水磨镇、青城山旅游产业装备功能区等稳定的校外实践教学基地，学生也可利用寒暑假在自己家乡或者通过“三下乡”活动进行相应的社会调研。与国家工业化与信息化培训中心建立了“数字化创新人才产教融合培养示范基地”线上社会实践平台。教学团队与学生共同组建“成都传奇三维设计工作室”实践平台，入住四川省大学生创新创业俱乐部，对外开展工业设计等技术服务。目前在百度非收费位长年保持前三位，培养了学生的创业意识和能力。</w:t>
            </w:r>
          </w:p>
          <w:p>
            <w:pPr>
              <w:tabs>
                <w:tab w:val="left" w:pos="630"/>
              </w:tabs>
              <w:adjustRightInd w:val="0"/>
              <w:snapToGrid w:val="0"/>
              <w:spacing w:line="264" w:lineRule="auto"/>
              <w:rPr>
                <w:rFonts w:ascii="仿宋_GB2312" w:hAnsi="仿宋_GB2312" w:eastAsia="仿宋_GB2312" w:cs="仿宋_GB2312"/>
                <w:b/>
                <w:bCs/>
                <w:kern w:val="0"/>
                <w:szCs w:val="21"/>
              </w:rPr>
            </w:pPr>
            <w:r>
              <w:rPr>
                <w:rFonts w:hint="eastAsia" w:ascii="仿宋_GB2312" w:hAnsi="仿宋_GB2312" w:eastAsia="仿宋_GB2312" w:cs="仿宋_GB2312"/>
                <w:b/>
                <w:bCs/>
                <w:kern w:val="0"/>
                <w:szCs w:val="21"/>
              </w:rPr>
              <w:t>（4）教学团队打造了</w:t>
            </w:r>
            <w:r>
              <w:rPr>
                <w:rFonts w:ascii="仿宋_GB2312" w:hAnsi="仿宋_GB2312" w:eastAsia="仿宋_GB2312" w:cs="仿宋_GB2312"/>
                <w:b/>
                <w:bCs/>
                <w:kern w:val="0"/>
                <w:szCs w:val="21"/>
              </w:rPr>
              <w:t>Small Private Online Course</w:t>
            </w:r>
            <w:r>
              <w:rPr>
                <w:rFonts w:hint="eastAsia" w:ascii="仿宋_GB2312" w:hAnsi="仿宋_GB2312" w:eastAsia="仿宋_GB2312" w:cs="仿宋_GB2312"/>
                <w:b/>
                <w:bCs/>
                <w:kern w:val="0"/>
                <w:szCs w:val="21"/>
              </w:rPr>
              <w:t xml:space="preserve"> （SPOC）及慕课用于课程实践的在线学习。</w:t>
            </w:r>
          </w:p>
          <w:p>
            <w:pPr>
              <w:spacing w:line="264" w:lineRule="auto"/>
              <w:rPr>
                <w:rFonts w:ascii="仿宋_GB2312" w:hAnsi="仿宋_GB2312" w:eastAsia="仿宋_GB2312" w:cs="仿宋_GB2312"/>
                <w:b/>
                <w:bCs/>
                <w:kern w:val="0"/>
                <w:szCs w:val="21"/>
              </w:rPr>
            </w:pPr>
            <w:r>
              <w:rPr>
                <w:rFonts w:hint="eastAsia" w:ascii="仿宋_GB2312" w:hAnsi="仿宋_GB2312" w:eastAsia="仿宋_GB2312" w:cs="仿宋_GB2312"/>
                <w:b/>
                <w:bCs/>
                <w:kern w:val="0"/>
                <w:szCs w:val="21"/>
              </w:rPr>
              <w:t>4.4教学设计过程及实施过程</w:t>
            </w:r>
          </w:p>
          <w:p>
            <w:pPr>
              <w:tabs>
                <w:tab w:val="left" w:pos="630"/>
              </w:tabs>
              <w:snapToGrid w:val="0"/>
              <w:spacing w:line="264" w:lineRule="auto"/>
              <w:ind w:firstLine="218" w:firstLineChars="104"/>
              <w:rPr>
                <w:rFonts w:ascii="仿宋_GB2312" w:hAnsi="仿宋_GB2312" w:eastAsia="仿宋_GB2312" w:cs="仿宋_GB2312"/>
                <w:kern w:val="0"/>
                <w:szCs w:val="21"/>
              </w:rPr>
            </w:pPr>
            <w:r>
              <w:rPr>
                <w:rFonts w:hint="eastAsia" w:ascii="仿宋_GB2312" w:hAnsi="仿宋_GB2312" w:eastAsia="仿宋_GB2312" w:cs="仿宋_GB2312"/>
                <w:kern w:val="0"/>
                <w:szCs w:val="21"/>
              </w:rPr>
              <w:t>（1）将原来2周的课程延长为1个学期，确保了实践课程有效开展。</w:t>
            </w:r>
          </w:p>
          <w:p>
            <w:pPr>
              <w:tabs>
                <w:tab w:val="left" w:pos="630"/>
              </w:tabs>
              <w:snapToGrid w:val="0"/>
              <w:spacing w:line="264" w:lineRule="auto"/>
              <w:ind w:firstLine="218" w:firstLineChars="104"/>
              <w:rPr>
                <w:rFonts w:ascii="仿宋_GB2312" w:hAnsi="仿宋_GB2312" w:eastAsia="仿宋_GB2312" w:cs="仿宋_GB2312"/>
                <w:kern w:val="0"/>
                <w:szCs w:val="21"/>
              </w:rPr>
            </w:pPr>
            <w:r>
              <w:rPr>
                <w:rFonts w:hint="eastAsia" w:ascii="仿宋_GB2312" w:hAnsi="仿宋_GB2312" w:eastAsia="仿宋_GB2312" w:cs="仿宋_GB2312"/>
                <w:kern w:val="0"/>
                <w:szCs w:val="21"/>
              </w:rPr>
              <w:t>（2）</w:t>
            </w:r>
            <w:r>
              <w:rPr>
                <w:rFonts w:ascii="仿宋_GB2312" w:hAnsi="仿宋_GB2312" w:eastAsia="仿宋_GB2312" w:cs="仿宋_GB2312"/>
                <w:kern w:val="0"/>
                <w:szCs w:val="21"/>
              </w:rPr>
              <w:t>采用小组讨论/小组辩论等方式，让学生独立思考，引导其自主学习。从而实现高阶性知识探究及解决复杂工程问题能力</w:t>
            </w:r>
            <w:r>
              <w:rPr>
                <w:rFonts w:hint="eastAsia" w:ascii="仿宋_GB2312" w:hAnsi="仿宋_GB2312" w:eastAsia="仿宋_GB2312" w:cs="仿宋_GB2312"/>
                <w:kern w:val="0"/>
                <w:szCs w:val="21"/>
              </w:rPr>
              <w:t>的</w:t>
            </w:r>
            <w:r>
              <w:rPr>
                <w:rFonts w:ascii="仿宋_GB2312" w:hAnsi="仿宋_GB2312" w:eastAsia="仿宋_GB2312" w:cs="仿宋_GB2312"/>
                <w:kern w:val="0"/>
                <w:szCs w:val="21"/>
              </w:rPr>
              <w:t>培养。</w:t>
            </w:r>
          </w:p>
          <w:p>
            <w:pPr>
              <w:tabs>
                <w:tab w:val="left" w:pos="630"/>
              </w:tabs>
              <w:snapToGrid w:val="0"/>
              <w:spacing w:line="264" w:lineRule="auto"/>
              <w:ind w:firstLine="218" w:firstLineChars="104"/>
              <w:rPr>
                <w:rFonts w:ascii="仿宋_GB2312" w:hAnsi="仿宋_GB2312" w:eastAsia="仿宋_GB2312" w:cs="仿宋_GB2312"/>
                <w:kern w:val="0"/>
                <w:szCs w:val="21"/>
              </w:rPr>
            </w:pPr>
            <w:r>
              <w:rPr>
                <w:rFonts w:hint="eastAsia" w:ascii="仿宋_GB2312" w:hAnsi="仿宋_GB2312" w:eastAsia="仿宋_GB2312" w:cs="仿宋_GB2312"/>
                <w:kern w:val="0"/>
                <w:szCs w:val="21"/>
              </w:rPr>
              <w:t>（3）</w:t>
            </w:r>
            <w:r>
              <w:rPr>
                <w:rFonts w:ascii="仿宋_GB2312" w:hAnsi="仿宋_GB2312" w:eastAsia="仿宋_GB2312" w:cs="仿宋_GB2312"/>
                <w:kern w:val="0"/>
                <w:szCs w:val="21"/>
              </w:rPr>
              <w:t>结合前沿技术及社会热点，在课程中有意识</w:t>
            </w:r>
            <w:r>
              <w:rPr>
                <w:rFonts w:hint="eastAsia" w:ascii="仿宋_GB2312" w:hAnsi="仿宋_GB2312" w:eastAsia="仿宋_GB2312" w:cs="仿宋_GB2312"/>
                <w:kern w:val="0"/>
                <w:szCs w:val="21"/>
              </w:rPr>
              <w:t>地</w:t>
            </w:r>
            <w:r>
              <w:rPr>
                <w:rFonts w:ascii="仿宋_GB2312" w:hAnsi="仿宋_GB2312" w:eastAsia="仿宋_GB2312" w:cs="仿宋_GB2312"/>
                <w:kern w:val="0"/>
                <w:szCs w:val="21"/>
              </w:rPr>
              <w:t>进行国际视野，家国情怀，职业道德等方面的讨论辩论主题。</w:t>
            </w:r>
          </w:p>
          <w:p>
            <w:pPr>
              <w:tabs>
                <w:tab w:val="left" w:pos="630"/>
              </w:tabs>
              <w:snapToGrid w:val="0"/>
              <w:spacing w:line="264" w:lineRule="auto"/>
              <w:ind w:firstLine="218" w:firstLineChars="104"/>
              <w:rPr>
                <w:rFonts w:ascii="仿宋_GB2312" w:hAnsi="仿宋_GB2312" w:eastAsia="仿宋_GB2312" w:cs="仿宋_GB2312"/>
                <w:kern w:val="0"/>
                <w:szCs w:val="21"/>
              </w:rPr>
            </w:pPr>
            <w:r>
              <w:rPr>
                <w:rFonts w:hint="eastAsia" w:ascii="仿宋_GB2312" w:hAnsi="仿宋_GB2312" w:eastAsia="仿宋_GB2312" w:cs="仿宋_GB2312"/>
                <w:kern w:val="0"/>
                <w:szCs w:val="21"/>
              </w:rPr>
              <w:t>（4）</w:t>
            </w:r>
            <w:r>
              <w:rPr>
                <w:rFonts w:ascii="仿宋_GB2312" w:hAnsi="仿宋_GB2312" w:eastAsia="仿宋_GB2312" w:cs="仿宋_GB2312"/>
                <w:kern w:val="0"/>
                <w:szCs w:val="21"/>
              </w:rPr>
              <w:t>课程将科研成果、企业案例、学科竞赛的获奖作品</w:t>
            </w:r>
            <w:r>
              <w:rPr>
                <w:rFonts w:hint="eastAsia" w:ascii="仿宋_GB2312" w:hAnsi="仿宋_GB2312" w:eastAsia="仿宋_GB2312" w:cs="仿宋_GB2312"/>
                <w:kern w:val="0"/>
                <w:szCs w:val="21"/>
              </w:rPr>
              <w:t>及</w:t>
            </w:r>
            <w:r>
              <w:rPr>
                <w:rFonts w:ascii="仿宋_GB2312" w:hAnsi="仿宋_GB2312" w:eastAsia="仿宋_GB2312" w:cs="仿宋_GB2312"/>
                <w:kern w:val="0"/>
                <w:szCs w:val="21"/>
              </w:rPr>
              <w:t>学生发表的论文专利引入线下课堂，通过小组讨论，点评，产生头脑风暴，培养学生的批判性和创造性思维，激发学生创新创业灵感。</w:t>
            </w:r>
          </w:p>
          <w:p>
            <w:pPr>
              <w:spacing w:line="264" w:lineRule="auto"/>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4.5 评价方法</w:t>
            </w:r>
          </w:p>
          <w:p>
            <w:pPr>
              <w:tabs>
                <w:tab w:val="left" w:pos="630"/>
              </w:tabs>
              <w:snapToGrid w:val="0"/>
              <w:spacing w:line="264" w:lineRule="auto"/>
              <w:ind w:firstLine="218" w:firstLineChars="104"/>
              <w:rPr>
                <w:rFonts w:ascii="仿宋_GB2312" w:hAnsi="仿宋_GB2312" w:eastAsia="仿宋_GB2312" w:cs="仿宋_GB2312"/>
                <w:kern w:val="0"/>
                <w:szCs w:val="21"/>
              </w:rPr>
            </w:pPr>
            <w:r>
              <w:rPr>
                <w:rFonts w:hint="eastAsia" w:ascii="仿宋_GB2312" w:hAnsi="仿宋_GB2312" w:eastAsia="仿宋_GB2312" w:cs="仿宋_GB2312"/>
                <w:kern w:val="0"/>
                <w:szCs w:val="21"/>
              </w:rPr>
              <w:t>（1）学生的实践评价分为过程评价和结果评价两部分，分别制定了两套评价标准。</w:t>
            </w:r>
          </w:p>
          <w:p>
            <w:pPr>
              <w:tabs>
                <w:tab w:val="left" w:pos="630"/>
              </w:tabs>
              <w:snapToGrid w:val="0"/>
              <w:spacing w:line="264" w:lineRule="auto"/>
              <w:ind w:firstLine="218" w:firstLineChars="104"/>
              <w:rPr>
                <w:rFonts w:ascii="仿宋_GB2312" w:hAnsi="仿宋_GB2312" w:eastAsia="仿宋_GB2312" w:cs="仿宋_GB2312"/>
                <w:kern w:val="0"/>
                <w:szCs w:val="21"/>
              </w:rPr>
            </w:pPr>
            <w:r>
              <w:rPr>
                <w:rFonts w:hint="eastAsia" w:ascii="仿宋_GB2312" w:hAnsi="仿宋_GB2312" w:eastAsia="仿宋_GB2312" w:cs="仿宋_GB2312"/>
                <w:kern w:val="0"/>
                <w:szCs w:val="21"/>
              </w:rPr>
              <w:t>（2）注重过程考核。包括全程参与、注意安全、遵守纪律、团队合作等方面。</w:t>
            </w:r>
          </w:p>
          <w:p>
            <w:pPr>
              <w:tabs>
                <w:tab w:val="left" w:pos="630"/>
              </w:tabs>
              <w:snapToGrid w:val="0"/>
              <w:spacing w:line="264" w:lineRule="auto"/>
              <w:ind w:firstLine="218" w:firstLineChars="104"/>
              <w:rPr>
                <w:rFonts w:ascii="仿宋_GB2312" w:hAnsi="仿宋_GB2312" w:eastAsia="仿宋_GB2312" w:cs="仿宋_GB2312"/>
                <w:kern w:val="0"/>
                <w:szCs w:val="21"/>
              </w:rPr>
            </w:pPr>
            <w:r>
              <w:rPr>
                <w:rFonts w:hint="eastAsia" w:ascii="仿宋_GB2312" w:hAnsi="仿宋_GB2312" w:eastAsia="仿宋_GB2312" w:cs="仿宋_GB2312"/>
                <w:kern w:val="0"/>
                <w:szCs w:val="21"/>
              </w:rPr>
              <w:t>（3）注重结果评价。包括成果内容的科学性、知识性、真实性、创新性、价值性等，成果形式的规范性等。</w:t>
            </w:r>
          </w:p>
          <w:p>
            <w:pPr>
              <w:tabs>
                <w:tab w:val="left" w:pos="630"/>
              </w:tabs>
              <w:snapToGrid w:val="0"/>
              <w:spacing w:line="264" w:lineRule="auto"/>
              <w:ind w:firstLine="218" w:firstLineChars="104"/>
              <w:rPr>
                <w:rFonts w:ascii="仿宋_GB2312" w:hAnsi="仿宋_GB2312" w:eastAsia="仿宋_GB2312" w:cs="仿宋_GB2312"/>
                <w:kern w:val="0"/>
                <w:szCs w:val="21"/>
              </w:rPr>
            </w:pPr>
            <w:r>
              <w:rPr>
                <w:rFonts w:hint="eastAsia" w:ascii="仿宋_GB2312" w:hAnsi="仿宋_GB2312" w:eastAsia="仿宋_GB2312" w:cs="仿宋_GB2312"/>
                <w:kern w:val="0"/>
                <w:szCs w:val="21"/>
              </w:rPr>
              <w:t>（4）遴选优秀作品。从每个教学班推荐优秀实践案例，把优秀实践成果作为放在数字工坊、3Dshow等平台进行展示。</w:t>
            </w:r>
          </w:p>
          <w:p>
            <w:pPr>
              <w:spacing w:line="264" w:lineRule="auto"/>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4.6</w:t>
            </w:r>
            <w:r>
              <w:rPr>
                <w:b/>
                <w:bCs/>
                <w:color w:val="000000" w:themeColor="text1"/>
                <w:szCs w:val="21"/>
                <w14:textFill>
                  <w14:solidFill>
                    <w14:schemeClr w14:val="tx1"/>
                  </w14:solidFill>
                </w14:textFill>
              </w:rPr>
              <w:t>课程评价及改革成效情况</w:t>
            </w:r>
          </w:p>
          <w:p>
            <w:pPr>
              <w:tabs>
                <w:tab w:val="left" w:pos="630"/>
              </w:tabs>
              <w:snapToGrid w:val="0"/>
              <w:spacing w:line="264" w:lineRule="auto"/>
              <w:ind w:firstLine="218" w:firstLineChars="104"/>
              <w:rPr>
                <w:rFonts w:ascii="仿宋_GB2312" w:hAnsi="Times New Roman" w:eastAsia="仿宋_GB2312" w:cs="仿宋_GB2312"/>
                <w:szCs w:val="21"/>
              </w:rPr>
            </w:pPr>
            <w:r>
              <w:rPr>
                <w:rFonts w:hint="eastAsia" w:ascii="仿宋_GB2312" w:hAnsi="Times New Roman" w:eastAsia="仿宋_GB2312" w:cs="仿宋_GB2312"/>
                <w:szCs w:val="21"/>
              </w:rPr>
              <w:t>（1）在省级一流专业、特色专业、卓越工程师等项目支持下，不断优化课程内容及教学改革，获省级教学成果奖2项；</w:t>
            </w:r>
          </w:p>
          <w:p>
            <w:pPr>
              <w:tabs>
                <w:tab w:val="left" w:pos="630"/>
              </w:tabs>
              <w:snapToGrid w:val="0"/>
              <w:spacing w:line="264" w:lineRule="auto"/>
              <w:ind w:firstLine="218" w:firstLineChars="104"/>
              <w:rPr>
                <w:rFonts w:ascii="仿宋_GB2312" w:hAnsi="Times New Roman" w:eastAsia="仿宋_GB2312" w:cs="仿宋_GB2312"/>
                <w:szCs w:val="21"/>
              </w:rPr>
            </w:pPr>
            <w:r>
              <w:rPr>
                <w:rFonts w:hint="eastAsia" w:ascii="仿宋_GB2312" w:hAnsi="Times New Roman" w:eastAsia="仿宋_GB2312" w:cs="仿宋_GB2312"/>
                <w:szCs w:val="21"/>
              </w:rPr>
              <w:t>（2）创新创业教育取得一定成效，本课程获四川省创新创业示范课程；</w:t>
            </w:r>
          </w:p>
          <w:p>
            <w:pPr>
              <w:tabs>
                <w:tab w:val="left" w:pos="630"/>
              </w:tabs>
              <w:snapToGrid w:val="0"/>
              <w:spacing w:line="264" w:lineRule="auto"/>
              <w:ind w:firstLine="218" w:firstLineChars="104"/>
              <w:rPr>
                <w:rFonts w:ascii="仿宋_GB2312" w:hAnsi="Times New Roman" w:eastAsia="仿宋_GB2312" w:cs="仿宋_GB2312"/>
                <w:szCs w:val="21"/>
              </w:rPr>
            </w:pPr>
            <w:r>
              <w:rPr>
                <w:rFonts w:hint="eastAsia" w:ascii="仿宋_GB2312" w:hAnsi="Times New Roman" w:eastAsia="仿宋_GB2312" w:cs="仿宋_GB2312"/>
                <w:szCs w:val="21"/>
              </w:rPr>
              <w:t>（3）建设面向新工科的数字化成型课程体系及教学内容，《材料成型虚拟仿真课程改革》等3项教改项目获教育部立项；</w:t>
            </w:r>
          </w:p>
          <w:p>
            <w:pPr>
              <w:tabs>
                <w:tab w:val="left" w:pos="630"/>
              </w:tabs>
              <w:snapToGrid w:val="0"/>
              <w:spacing w:line="264" w:lineRule="auto"/>
              <w:ind w:firstLine="218" w:firstLineChars="104"/>
              <w:rPr>
                <w:rFonts w:ascii="仿宋_GB2312" w:hAnsi="Times New Roman" w:eastAsia="仿宋_GB2312" w:cs="仿宋_GB2312"/>
                <w:szCs w:val="21"/>
              </w:rPr>
            </w:pPr>
            <w:r>
              <w:rPr>
                <w:rFonts w:hint="eastAsia" w:ascii="仿宋_GB2312" w:hAnsi="Times New Roman" w:eastAsia="仿宋_GB2312" w:cs="仿宋_GB2312"/>
                <w:szCs w:val="21"/>
              </w:rPr>
              <w:t>（4）建立了“思政教师+专业教师+创新创业导师”的专创融合的教学团队，获首批校级思想政治精品培育项目；</w:t>
            </w:r>
          </w:p>
          <w:p>
            <w:pPr>
              <w:tabs>
                <w:tab w:val="left" w:pos="630"/>
              </w:tabs>
              <w:snapToGrid w:val="0"/>
              <w:spacing w:line="264" w:lineRule="auto"/>
              <w:ind w:firstLine="218" w:firstLineChars="104"/>
              <w:rPr>
                <w:rFonts w:ascii="仿宋_GB2312" w:hAnsi="Times New Roman" w:eastAsia="仿宋_GB2312" w:cs="仿宋_GB2312"/>
                <w:szCs w:val="21"/>
              </w:rPr>
            </w:pPr>
            <w:r>
              <w:rPr>
                <w:rFonts w:hint="eastAsia" w:ascii="仿宋_GB2312" w:hAnsi="Times New Roman" w:eastAsia="仿宋_GB2312" w:cs="仿宋_GB2312"/>
                <w:szCs w:val="21"/>
              </w:rPr>
              <w:t>（5）教学方法不断推陈出新，教学团队在全国高等院校工程应用技术教师大赛中获全国一等奖1项，全国二等奖2项；</w:t>
            </w:r>
          </w:p>
          <w:p>
            <w:pPr>
              <w:tabs>
                <w:tab w:val="left" w:pos="630"/>
              </w:tabs>
              <w:snapToGrid w:val="0"/>
              <w:spacing w:line="264" w:lineRule="auto"/>
              <w:ind w:firstLine="218" w:firstLineChars="104"/>
              <w:rPr>
                <w:rFonts w:ascii="仿宋_GB2312" w:hAnsi="Times New Roman" w:eastAsia="仿宋_GB2312" w:cs="仿宋_GB2312"/>
                <w:szCs w:val="21"/>
              </w:rPr>
            </w:pPr>
            <w:r>
              <w:rPr>
                <w:rFonts w:hint="eastAsia" w:ascii="仿宋_GB2312" w:hAnsi="Times New Roman" w:eastAsia="仿宋_GB2312" w:cs="仿宋_GB2312"/>
                <w:szCs w:val="21"/>
              </w:rPr>
              <w:t>（6）教学团队围绕课程建设编著了两本配套教材。其中《材料成形过程数值模拟》（第2版）入选高等教育“十三五”规划教材，销量近3万册，教材被全国30余所高校采用。《材料成形CAD/CAE技术与应用》已申报首届全国优秀教材。</w:t>
            </w:r>
          </w:p>
          <w:p>
            <w:pPr>
              <w:tabs>
                <w:tab w:val="left" w:pos="630"/>
              </w:tabs>
              <w:snapToGrid w:val="0"/>
              <w:spacing w:line="264" w:lineRule="auto"/>
              <w:ind w:firstLine="218" w:firstLineChars="104"/>
              <w:rPr>
                <w:rFonts w:ascii="仿宋_GB2312" w:hAnsi="Times New Roman" w:eastAsia="仿宋_GB2312" w:cs="仿宋_GB2312"/>
                <w:szCs w:val="21"/>
              </w:rPr>
            </w:pPr>
            <w:r>
              <w:rPr>
                <w:rFonts w:hint="eastAsia" w:ascii="仿宋_GB2312" w:hAnsi="Times New Roman" w:eastAsia="仿宋_GB2312" w:cs="仿宋_GB2312"/>
                <w:szCs w:val="21"/>
              </w:rPr>
              <w:t>（7）近三年本专业学生在学科竞赛中获全国一等奖9项，全国二等奖6项，省级奖项近20余项，发表了学术论文及专利近30余项。</w:t>
            </w:r>
          </w:p>
          <w:p>
            <w:pPr>
              <w:spacing w:line="340" w:lineRule="atLeast"/>
              <w:ind w:firstLine="210" w:firstLineChars="100"/>
              <w:rPr>
                <w:rFonts w:ascii="仿宋_GB2312" w:hAnsi="仿宋_GB2312" w:eastAsia="仿宋_GB2312" w:cs="仿宋_GB2312"/>
                <w:kern w:val="0"/>
                <w:sz w:val="24"/>
                <w:szCs w:val="24"/>
              </w:rPr>
            </w:pPr>
            <w:r>
              <w:rPr>
                <w:rFonts w:hint="eastAsia" w:ascii="仿宋_GB2312" w:hAnsi="Times New Roman" w:eastAsia="仿宋_GB2312" w:cs="仿宋_GB2312"/>
                <w:szCs w:val="21"/>
              </w:rPr>
              <w:t>（8）教学团队在教育部“先进设计与增材制造智慧学习工场”项目研讨会、四川省高校材料学院院长论坛会上受邀作主题报告，获得同类高校的认可。在面向全国200多所高校举办的三维数字化教学创新应用会议上作题为《学科竞赛炼人才、课程建设创一流》”的主题报告，分享教学团队在数字化课程群建设方面的经验及成效。</w:t>
            </w:r>
          </w:p>
          <w:p>
            <w:pPr>
              <w:spacing w:line="340" w:lineRule="atLeast"/>
              <w:rPr>
                <w:rFonts w:ascii="仿宋_GB2312" w:hAnsi="仿宋_GB2312" w:eastAsia="仿宋_GB2312" w:cs="仿宋_GB2312"/>
                <w:kern w:val="0"/>
                <w:sz w:val="24"/>
                <w:szCs w:val="24"/>
              </w:rPr>
            </w:pPr>
          </w:p>
          <w:p>
            <w:pPr>
              <w:spacing w:line="340" w:lineRule="atLeast"/>
              <w:rPr>
                <w:rFonts w:hint="eastAsia" w:ascii="仿宋_GB2312" w:hAnsi="仿宋_GB2312" w:eastAsia="仿宋_GB2312" w:cs="仿宋_GB2312"/>
                <w:kern w:val="0"/>
                <w:sz w:val="24"/>
                <w:szCs w:val="24"/>
              </w:rPr>
            </w:pPr>
          </w:p>
        </w:tc>
      </w:tr>
    </w:tbl>
    <w:p>
      <w:pPr>
        <w:pStyle w:val="11"/>
        <w:spacing w:line="340" w:lineRule="atLeast"/>
        <w:ind w:firstLine="0" w:firstLineChars="0"/>
        <w:rPr>
          <w:rFonts w:ascii="黑体" w:hAnsi="黑体" w:eastAsia="黑体" w:cs="黑体"/>
          <w:sz w:val="24"/>
          <w:szCs w:val="24"/>
        </w:rPr>
      </w:pPr>
    </w:p>
    <w:p>
      <w:pPr>
        <w:pStyle w:val="11"/>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tabs>
                <w:tab w:val="left" w:pos="630"/>
              </w:tabs>
              <w:snapToGrid w:val="0"/>
              <w:spacing w:line="312" w:lineRule="auto"/>
              <w:rPr>
                <w:rFonts w:ascii="楷体" w:hAnsi="楷体" w:eastAsia="楷体" w:cs="楷体"/>
                <w:b/>
                <w:bCs/>
                <w:szCs w:val="21"/>
              </w:rPr>
            </w:pPr>
            <w:r>
              <w:rPr>
                <w:rFonts w:hint="eastAsia" w:ascii="楷体" w:hAnsi="楷体" w:eastAsia="楷体" w:cs="楷体"/>
                <w:b/>
                <w:bCs/>
                <w:szCs w:val="21"/>
              </w:rPr>
              <w:t>一、教学资源全自主打造，量身定做，确保教学目标的达成。</w:t>
            </w:r>
          </w:p>
          <w:p>
            <w:pPr>
              <w:tabs>
                <w:tab w:val="left" w:pos="630"/>
              </w:tabs>
              <w:snapToGrid w:val="0"/>
              <w:spacing w:line="312" w:lineRule="auto"/>
              <w:ind w:firstLine="371" w:firstLineChars="177"/>
              <w:rPr>
                <w:rFonts w:ascii="仿宋_GB2312" w:hAnsi="仿宋_GB2312" w:eastAsia="仿宋_GB2312" w:cs="仿宋_GB2312"/>
                <w:kern w:val="0"/>
                <w:szCs w:val="21"/>
              </w:rPr>
            </w:pPr>
            <w:r>
              <w:rPr>
                <w:rFonts w:hint="eastAsia" w:ascii="仿宋_GB2312" w:hAnsi="Times New Roman" w:eastAsia="仿宋_GB2312" w:cs="仿宋_GB2312"/>
                <w:szCs w:val="21"/>
              </w:rPr>
              <w:t>（1）</w:t>
            </w:r>
            <w:r>
              <w:rPr>
                <w:rFonts w:hint="eastAsia" w:ascii="仿宋_GB2312" w:hAnsi="仿宋_GB2312" w:eastAsia="仿宋_GB2312" w:cs="仿宋_GB2312"/>
                <w:kern w:val="0"/>
                <w:szCs w:val="21"/>
              </w:rPr>
              <w:t>助力脱贫攻坚、服务乡村振兴战略，课程开发了“丘陵小农机”、“农用小工具”“生活小家电”、“儿童小玩具”及当年社会热点等主题。</w:t>
            </w:r>
          </w:p>
          <w:p>
            <w:pPr>
              <w:tabs>
                <w:tab w:val="left" w:pos="630"/>
              </w:tabs>
              <w:snapToGrid w:val="0"/>
              <w:spacing w:line="312" w:lineRule="auto"/>
              <w:ind w:firstLine="371" w:firstLineChars="177"/>
              <w:rPr>
                <w:rFonts w:ascii="仿宋_GB2312" w:hAnsi="Times New Roman" w:eastAsia="仿宋_GB2312" w:cs="仿宋_GB2312"/>
                <w:szCs w:val="21"/>
              </w:rPr>
            </w:pPr>
            <w:r>
              <w:rPr>
                <w:rFonts w:hint="eastAsia" w:ascii="仿宋_GB2312" w:hAnsi="仿宋_GB2312" w:eastAsia="仿宋_GB2312" w:cs="仿宋_GB2312"/>
                <w:kern w:val="0"/>
                <w:szCs w:val="21"/>
              </w:rPr>
              <w:t>（2）建立了“校内+校外”“线上+线下”等多种形式的实践形式及基地。</w:t>
            </w:r>
          </w:p>
          <w:p>
            <w:pPr>
              <w:tabs>
                <w:tab w:val="left" w:pos="630"/>
              </w:tabs>
              <w:snapToGrid w:val="0"/>
              <w:spacing w:line="312" w:lineRule="auto"/>
              <w:ind w:firstLine="371" w:firstLineChars="177"/>
              <w:rPr>
                <w:rFonts w:ascii="仿宋_GB2312" w:hAnsi="Times New Roman" w:eastAsia="仿宋_GB2312" w:cs="仿宋_GB2312"/>
                <w:szCs w:val="21"/>
              </w:rPr>
            </w:pPr>
            <w:r>
              <w:rPr>
                <w:rFonts w:hint="eastAsia" w:ascii="仿宋_GB2312" w:hAnsi="Times New Roman" w:eastAsia="仿宋_GB2312" w:cs="仿宋_GB2312"/>
                <w:szCs w:val="21"/>
              </w:rPr>
              <w:t>（3）面向课程教学目标及社会对人才的需求，面向本科教学编著针对性强的实践配套教材。</w:t>
            </w:r>
          </w:p>
          <w:p>
            <w:pPr>
              <w:tabs>
                <w:tab w:val="left" w:pos="630"/>
              </w:tabs>
              <w:snapToGrid w:val="0"/>
              <w:spacing w:line="312" w:lineRule="auto"/>
              <w:rPr>
                <w:rFonts w:ascii="楷体" w:hAnsi="楷体" w:eastAsia="楷体" w:cs="楷体"/>
                <w:b/>
                <w:bCs/>
                <w:szCs w:val="21"/>
              </w:rPr>
            </w:pPr>
            <w:r>
              <w:rPr>
                <w:rFonts w:hint="eastAsia" w:ascii="楷体" w:hAnsi="楷体" w:eastAsia="楷体" w:cs="楷体"/>
                <w:b/>
                <w:bCs/>
                <w:szCs w:val="21"/>
              </w:rPr>
              <w:t>二、教学方法大胆创新，实施过程小心求证、稳步推进，确保教学质量稳步提升。</w:t>
            </w:r>
          </w:p>
          <w:p>
            <w:pPr>
              <w:tabs>
                <w:tab w:val="left" w:pos="630"/>
              </w:tabs>
              <w:snapToGrid w:val="0"/>
              <w:spacing w:line="312" w:lineRule="auto"/>
              <w:ind w:firstLine="371" w:firstLineChars="177"/>
              <w:rPr>
                <w:rFonts w:ascii="仿宋_GB2312" w:hAnsi="Times New Roman" w:eastAsia="仿宋_GB2312" w:cs="仿宋_GB2312"/>
                <w:szCs w:val="21"/>
              </w:rPr>
            </w:pPr>
            <w:r>
              <w:rPr>
                <w:rFonts w:hint="eastAsia" w:ascii="仿宋_GB2312" w:hAnsi="Times New Roman" w:eastAsia="仿宋_GB2312" w:cs="仿宋_GB2312"/>
                <w:szCs w:val="21"/>
              </w:rPr>
              <w:t>（1）建立起了创新创业“社会调研、创新设计、成果推广”三级培养体系，为学生提供了全景式、多层次的创新创业学习实践平台，</w:t>
            </w:r>
            <w:r>
              <w:rPr>
                <w:rFonts w:hint="eastAsia" w:ascii="仿宋_GB2312" w:hAnsi="仿宋_GB2312" w:eastAsia="仿宋_GB2312" w:cs="仿宋_GB2312"/>
                <w:kern w:val="0"/>
                <w:szCs w:val="21"/>
              </w:rPr>
              <w:t>实现专业创新实践与社会创业实践的融合。</w:t>
            </w:r>
          </w:p>
          <w:p>
            <w:pPr>
              <w:tabs>
                <w:tab w:val="left" w:pos="630"/>
              </w:tabs>
              <w:snapToGrid w:val="0"/>
              <w:spacing w:line="312" w:lineRule="auto"/>
              <w:ind w:firstLine="371" w:firstLineChars="177"/>
              <w:rPr>
                <w:rFonts w:ascii="仿宋_GB2312" w:hAnsi="Times New Roman" w:eastAsia="仿宋_GB2312" w:cs="仿宋_GB2312"/>
                <w:szCs w:val="21"/>
              </w:rPr>
            </w:pPr>
            <w:r>
              <w:rPr>
                <w:rFonts w:hint="eastAsia" w:ascii="仿宋_GB2312" w:hAnsi="Times New Roman" w:eastAsia="仿宋_GB2312" w:cs="仿宋_GB2312"/>
                <w:szCs w:val="21"/>
              </w:rPr>
              <w:t>（2）建立了“专创融合”的师资队伍。团队教师长期从事材料成型数字化及智能控制的科学研究及教学改革。团队成员肖兵、韩锐及本人在相关领域拥有丰富的创业经历。此外王博老师获得斯坦福创新创业导师认证，入选教育部首批“全国万名优秀创新创业导师人才库”，入选四川省教育厅首批“省级优秀创新创业导师人才库”。</w:t>
            </w:r>
          </w:p>
          <w:p>
            <w:pPr>
              <w:tabs>
                <w:tab w:val="left" w:pos="630"/>
              </w:tabs>
              <w:snapToGrid w:val="0"/>
              <w:spacing w:line="312" w:lineRule="auto"/>
              <w:ind w:firstLine="373" w:firstLineChars="177"/>
              <w:rPr>
                <w:rFonts w:ascii="楷体" w:hAnsi="楷体" w:eastAsia="楷体" w:cs="楷体"/>
                <w:b/>
                <w:bCs/>
                <w:szCs w:val="21"/>
              </w:rPr>
            </w:pPr>
            <w:r>
              <w:rPr>
                <w:rFonts w:hint="eastAsia" w:ascii="楷体" w:hAnsi="楷体" w:eastAsia="楷体" w:cs="楷体"/>
                <w:b/>
                <w:bCs/>
                <w:szCs w:val="21"/>
              </w:rPr>
              <w:t>三、通过“在线学习”+“线下课堂”+“第二课堂”相结合，为整个数字化课程群的“基础+综合+应用+创新”递进式人才能力培养任务提供基础保障。</w:t>
            </w:r>
          </w:p>
          <w:p>
            <w:pPr>
              <w:spacing w:line="340" w:lineRule="atLeast"/>
              <w:ind w:firstLine="422" w:firstLineChars="200"/>
              <w:rPr>
                <w:kern w:val="0"/>
                <w:sz w:val="24"/>
                <w:szCs w:val="24"/>
              </w:rPr>
            </w:pPr>
            <w:r>
              <w:rPr>
                <w:rFonts w:hint="eastAsia" w:ascii="楷体" w:hAnsi="楷体" w:eastAsia="楷体" w:cs="楷体"/>
                <w:b/>
                <w:bCs/>
                <w:szCs w:val="21"/>
              </w:rPr>
              <w:t>四、结合前沿技术及社会热点，从国家战略、环境健康、法律、安全等角度出发，在课程中有意识地进行“国际视野，家国情怀，职业道德”等方面的讨论、辩论等主题，培养具有“视野开阔，心系祖国，合法守信”的数字化专业技术人才。</w:t>
            </w:r>
          </w:p>
          <w:p>
            <w:pPr>
              <w:spacing w:line="340" w:lineRule="atLeast"/>
              <w:rPr>
                <w:rFonts w:hint="eastAsia"/>
                <w:kern w:val="0"/>
                <w:sz w:val="24"/>
                <w:szCs w:val="24"/>
              </w:rPr>
            </w:pPr>
          </w:p>
        </w:tc>
      </w:tr>
    </w:tbl>
    <w:p>
      <w:pPr>
        <w:pStyle w:val="11"/>
        <w:spacing w:line="340" w:lineRule="atLeast"/>
        <w:ind w:firstLine="0" w:firstLineChars="0"/>
        <w:rPr>
          <w:rFonts w:ascii="黑体" w:hAnsi="黑体" w:eastAsia="黑体" w:cs="黑体"/>
          <w:sz w:val="24"/>
          <w:szCs w:val="24"/>
        </w:rPr>
      </w:pPr>
    </w:p>
    <w:p>
      <w:pPr>
        <w:pStyle w:val="11"/>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tabs>
                <w:tab w:val="left" w:pos="630"/>
              </w:tabs>
              <w:snapToGrid w:val="0"/>
              <w:spacing w:line="360" w:lineRule="auto"/>
              <w:ind w:firstLine="371" w:firstLineChars="177"/>
              <w:rPr>
                <w:rFonts w:ascii="仿宋_GB2312" w:hAnsi="Times New Roman" w:eastAsia="仿宋_GB2312" w:cs="仿宋_GB2312"/>
                <w:szCs w:val="21"/>
              </w:rPr>
            </w:pPr>
            <w:r>
              <w:rPr>
                <w:rFonts w:hint="eastAsia" w:ascii="仿宋_GB2312" w:hAnsi="Times New Roman" w:eastAsia="仿宋_GB2312" w:cs="仿宋_GB2312"/>
                <w:szCs w:val="21"/>
              </w:rPr>
              <w:t>课程计划在今后五年内，面向课程教学目标从课程内容、教学方法、教学团队、教材等方向持续改进和提升。构建创新创业项目，搭建创业平台，加强课程思政，强化社会责任意识。</w:t>
            </w:r>
          </w:p>
          <w:p>
            <w:pPr>
              <w:tabs>
                <w:tab w:val="left" w:pos="630"/>
              </w:tabs>
              <w:snapToGrid w:val="0"/>
              <w:spacing w:line="360" w:lineRule="auto"/>
              <w:ind w:firstLine="371" w:firstLineChars="177"/>
              <w:rPr>
                <w:rFonts w:ascii="仿宋_GB2312" w:hAnsi="Times New Roman" w:eastAsia="仿宋_GB2312" w:cs="仿宋_GB2312"/>
                <w:szCs w:val="21"/>
              </w:rPr>
            </w:pPr>
            <w:r>
              <w:rPr>
                <w:rFonts w:hint="eastAsia" w:ascii="仿宋_GB2312" w:hAnsi="Times New Roman" w:eastAsia="仿宋_GB2312" w:cs="仿宋_GB2312"/>
                <w:szCs w:val="21"/>
              </w:rPr>
              <w:t>1.加强课程思政建设，培养学生的爱国意识、社会责任意识等，让学生感受科技魅力的同时增强民族自豪感。</w:t>
            </w:r>
          </w:p>
          <w:p>
            <w:pPr>
              <w:tabs>
                <w:tab w:val="left" w:pos="630"/>
              </w:tabs>
              <w:snapToGrid w:val="0"/>
              <w:spacing w:line="360" w:lineRule="auto"/>
              <w:ind w:firstLine="371" w:firstLineChars="177"/>
              <w:rPr>
                <w:rFonts w:ascii="仿宋_GB2312" w:hAnsi="Times New Roman" w:eastAsia="仿宋_GB2312" w:cs="仿宋_GB2312"/>
                <w:szCs w:val="21"/>
              </w:rPr>
            </w:pPr>
            <w:r>
              <w:rPr>
                <w:rFonts w:hint="eastAsia" w:ascii="仿宋_GB2312" w:hAnsi="Times New Roman" w:eastAsia="仿宋_GB2312" w:cs="仿宋_GB2312"/>
                <w:szCs w:val="21"/>
              </w:rPr>
              <w:t>2.教学团队建设。针对教学团队里无教授现状，教学团队计划5年内通过外引内培的方式，逐步形成一支结构合理、人员稳定、教学和科研能力强、教学效果好的高水平教师梯队。</w:t>
            </w:r>
          </w:p>
          <w:p>
            <w:pPr>
              <w:tabs>
                <w:tab w:val="left" w:pos="630"/>
              </w:tabs>
              <w:snapToGrid w:val="0"/>
              <w:spacing w:line="360" w:lineRule="auto"/>
              <w:ind w:firstLine="371" w:firstLineChars="177"/>
              <w:rPr>
                <w:rFonts w:ascii="仿宋_GB2312" w:hAnsi="Times New Roman" w:eastAsia="仿宋_GB2312" w:cs="仿宋_GB2312"/>
                <w:szCs w:val="21"/>
              </w:rPr>
            </w:pPr>
            <w:r>
              <w:rPr>
                <w:rFonts w:hint="eastAsia" w:ascii="仿宋_GB2312" w:hAnsi="Times New Roman" w:eastAsia="仿宋_GB2312" w:cs="仿宋_GB2312"/>
                <w:szCs w:val="21"/>
              </w:rPr>
              <w:t>3.课程内容和教学内容的改革与建设，校企结合、产教融合共建课程教学内容。</w:t>
            </w:r>
          </w:p>
          <w:p>
            <w:pPr>
              <w:tabs>
                <w:tab w:val="left" w:pos="630"/>
              </w:tabs>
              <w:snapToGrid w:val="0"/>
              <w:spacing w:line="360" w:lineRule="auto"/>
              <w:ind w:firstLine="371" w:firstLineChars="177"/>
              <w:rPr>
                <w:rFonts w:ascii="仿宋_GB2312" w:hAnsi="Times New Roman" w:eastAsia="仿宋_GB2312" w:cs="仿宋_GB2312"/>
                <w:szCs w:val="21"/>
              </w:rPr>
            </w:pPr>
            <w:r>
              <w:rPr>
                <w:rFonts w:hint="eastAsia" w:ascii="仿宋_GB2312" w:hAnsi="Times New Roman" w:eastAsia="仿宋_GB2312" w:cs="仿宋_GB2312"/>
                <w:szCs w:val="21"/>
              </w:rPr>
              <w:t>4.构建“赛训合一、产教融合、研学结合”的创新创业平台。</w:t>
            </w:r>
            <w:r>
              <w:rPr>
                <w:rFonts w:ascii="仿宋_GB2312" w:hAnsi="Times New Roman" w:eastAsia="仿宋_GB2312" w:cs="仿宋_GB2312"/>
                <w:szCs w:val="21"/>
              </w:rPr>
              <w:t>全面总结近年来课程建设的做法和效果，重新打造课程体系和模块，以创新理念和能力的培养为核心，理实一体化为目标，构建项目导向为主体的课程内容。</w:t>
            </w:r>
          </w:p>
          <w:p>
            <w:pPr>
              <w:tabs>
                <w:tab w:val="left" w:pos="630"/>
              </w:tabs>
              <w:snapToGrid w:val="0"/>
              <w:spacing w:line="360" w:lineRule="auto"/>
              <w:ind w:firstLine="371" w:firstLineChars="177"/>
              <w:rPr>
                <w:rFonts w:ascii="仿宋_GB2312" w:hAnsi="Times New Roman" w:eastAsia="仿宋_GB2312" w:cs="仿宋_GB2312"/>
                <w:szCs w:val="21"/>
              </w:rPr>
            </w:pPr>
            <w:r>
              <w:rPr>
                <w:rFonts w:hint="eastAsia" w:ascii="仿宋_GB2312" w:hAnsi="Times New Roman" w:eastAsia="仿宋_GB2312" w:cs="仿宋_GB2312"/>
                <w:szCs w:val="21"/>
              </w:rPr>
              <w:t>5.不断改革教学方法。不断改革和创新教学方法，培养学生科学思维能力和创新精神，特色鲜明，效果显著，符合素质教育要求。</w:t>
            </w:r>
          </w:p>
          <w:p>
            <w:pPr>
              <w:tabs>
                <w:tab w:val="left" w:pos="630"/>
              </w:tabs>
              <w:snapToGrid w:val="0"/>
              <w:spacing w:line="360" w:lineRule="auto"/>
              <w:ind w:firstLine="371" w:firstLineChars="177"/>
              <w:rPr>
                <w:rFonts w:ascii="仿宋_GB2312" w:hAnsi="Times New Roman" w:eastAsia="仿宋_GB2312" w:cs="仿宋_GB2312"/>
                <w:szCs w:val="21"/>
              </w:rPr>
            </w:pPr>
            <w:r>
              <w:rPr>
                <w:rFonts w:hint="eastAsia" w:ascii="仿宋_GB2312" w:hAnsi="Times New Roman" w:eastAsia="仿宋_GB2312" w:cs="仿宋_GB2312"/>
                <w:szCs w:val="21"/>
              </w:rPr>
              <w:t>6.不断深化考试改革。建立有效、可信的评价机制，制定科学合理的考核内容和方法。</w:t>
            </w:r>
          </w:p>
          <w:p>
            <w:pPr>
              <w:tabs>
                <w:tab w:val="left" w:pos="630"/>
              </w:tabs>
              <w:snapToGrid w:val="0"/>
              <w:spacing w:line="360" w:lineRule="auto"/>
              <w:ind w:firstLine="371" w:firstLineChars="177"/>
              <w:rPr>
                <w:kern w:val="0"/>
                <w:sz w:val="24"/>
                <w:szCs w:val="24"/>
              </w:rPr>
            </w:pPr>
            <w:r>
              <w:rPr>
                <w:rFonts w:hint="eastAsia" w:ascii="仿宋_GB2312" w:hAnsi="Times New Roman" w:eastAsia="仿宋_GB2312" w:cs="仿宋_GB2312"/>
                <w:szCs w:val="21"/>
              </w:rPr>
              <w:t>7.实现创新工作室及实验室的开放，实现创新活动的日常化。计划在现有基础上，扩大工作室的规模，增加工作室的设计与调装的基础条件，将工作室的工作与课程建设融为一体，做到工作室活动常态化、可持续化，成为课程的重要支撑。</w:t>
            </w:r>
          </w:p>
          <w:p>
            <w:pPr>
              <w:pStyle w:val="11"/>
              <w:spacing w:line="340" w:lineRule="atLeast"/>
              <w:ind w:firstLine="0" w:firstLineChars="0"/>
              <w:rPr>
                <w:kern w:val="0"/>
                <w:sz w:val="24"/>
                <w:szCs w:val="24"/>
              </w:rPr>
            </w:pPr>
          </w:p>
          <w:p>
            <w:pPr>
              <w:pStyle w:val="11"/>
              <w:spacing w:line="340" w:lineRule="atLeast"/>
              <w:ind w:firstLine="0" w:firstLineChars="0"/>
              <w:rPr>
                <w:kern w:val="0"/>
                <w:sz w:val="24"/>
                <w:szCs w:val="24"/>
              </w:rPr>
            </w:pPr>
          </w:p>
          <w:p>
            <w:pPr>
              <w:pStyle w:val="11"/>
              <w:spacing w:line="340" w:lineRule="atLeast"/>
              <w:ind w:firstLine="0" w:firstLineChars="0"/>
              <w:rPr>
                <w:kern w:val="0"/>
                <w:sz w:val="24"/>
                <w:szCs w:val="24"/>
              </w:rPr>
            </w:pPr>
          </w:p>
          <w:p>
            <w:pPr>
              <w:pStyle w:val="11"/>
              <w:spacing w:line="340" w:lineRule="atLeast"/>
              <w:ind w:firstLine="0" w:firstLineChars="0"/>
              <w:rPr>
                <w:kern w:val="0"/>
                <w:sz w:val="24"/>
                <w:szCs w:val="24"/>
              </w:rPr>
            </w:pPr>
          </w:p>
          <w:p>
            <w:pPr>
              <w:pStyle w:val="11"/>
              <w:spacing w:line="340" w:lineRule="atLeast"/>
              <w:ind w:firstLine="0" w:firstLineChars="0"/>
              <w:rPr>
                <w:kern w:val="0"/>
                <w:sz w:val="24"/>
                <w:szCs w:val="24"/>
              </w:rPr>
            </w:pPr>
          </w:p>
        </w:tc>
      </w:tr>
    </w:tbl>
    <w:p>
      <w:pPr>
        <w:pStyle w:val="11"/>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七、附件材料清单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11"/>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11"/>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11"/>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11"/>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11"/>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11"/>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1"/>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4.最近一学期的社会实践考核作业及学生代表性的实践报告</w:t>
            </w:r>
          </w:p>
          <w:p>
            <w:pPr>
              <w:pStyle w:val="11"/>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1"/>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11"/>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11"/>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1"/>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11"/>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1"/>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8.最近一次学校对课堂教学评价</w:t>
            </w:r>
          </w:p>
          <w:p>
            <w:pPr>
              <w:pStyle w:val="11"/>
              <w:spacing w:line="340" w:lineRule="atLeast"/>
              <w:ind w:left="482" w:firstLine="0" w:firstLineChars="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1"/>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11"/>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11"/>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11"/>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11"/>
              <w:spacing w:line="340" w:lineRule="atLeast"/>
              <w:ind w:firstLine="480"/>
              <w:rPr>
                <w:rFonts w:ascii="仿宋_GB2312" w:hAnsi="仿宋_GB2312" w:eastAsia="仿宋_GB2312" w:cs="仿宋_GB2312"/>
                <w:b/>
                <w:bCs/>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社会实践所在地相关机构的评价</w:t>
            </w:r>
          </w:p>
          <w:p>
            <w:pPr>
              <w:pStyle w:val="11"/>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（实践基地相关机构出具并盖章。）</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p>
            <w:pPr>
              <w:spacing w:line="340" w:lineRule="atLeast"/>
              <w:ind w:firstLine="458" w:firstLineChars="200"/>
              <w:rPr>
                <w:rFonts w:ascii="仿宋_GB2312" w:hAnsi="仿宋_GB2312" w:eastAsia="仿宋_GB2312" w:cs="仿宋_GB2312"/>
                <w:b/>
                <w:bCs/>
                <w:w w:val="95"/>
                <w:kern w:val="0"/>
                <w:sz w:val="24"/>
                <w:szCs w:val="24"/>
              </w:rPr>
            </w:pP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dobeSongStd-Light">
    <w:altName w:val="宋体"/>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BA942C"/>
    <w:multiLevelType w:val="singleLevel"/>
    <w:tmpl w:val="CBBA942C"/>
    <w:lvl w:ilvl="0" w:tentative="0">
      <w:start w:val="1"/>
      <w:numFmt w:val="decimal"/>
      <w:suff w:val="nothing"/>
      <w:lvlText w:val="（%1）"/>
      <w:lvlJc w:val="left"/>
    </w:lvl>
  </w:abstractNum>
  <w:abstractNum w:abstractNumId="1">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82"/>
    <w:rsid w:val="000C1362"/>
    <w:rsid w:val="00133353"/>
    <w:rsid w:val="001336FE"/>
    <w:rsid w:val="001455E1"/>
    <w:rsid w:val="001862CF"/>
    <w:rsid w:val="001E068A"/>
    <w:rsid w:val="002540EE"/>
    <w:rsid w:val="002550F0"/>
    <w:rsid w:val="00282122"/>
    <w:rsid w:val="00285F5E"/>
    <w:rsid w:val="0028620F"/>
    <w:rsid w:val="002A6DF9"/>
    <w:rsid w:val="002D0359"/>
    <w:rsid w:val="002E3846"/>
    <w:rsid w:val="002E59B2"/>
    <w:rsid w:val="00314882"/>
    <w:rsid w:val="00364E4D"/>
    <w:rsid w:val="0039477D"/>
    <w:rsid w:val="003B66B4"/>
    <w:rsid w:val="003F21E9"/>
    <w:rsid w:val="004A40D3"/>
    <w:rsid w:val="00504502"/>
    <w:rsid w:val="00506459"/>
    <w:rsid w:val="005A0FB5"/>
    <w:rsid w:val="005E598F"/>
    <w:rsid w:val="0063591E"/>
    <w:rsid w:val="00687AE0"/>
    <w:rsid w:val="0069008C"/>
    <w:rsid w:val="006B5CFC"/>
    <w:rsid w:val="006B6AF5"/>
    <w:rsid w:val="00732251"/>
    <w:rsid w:val="007E3686"/>
    <w:rsid w:val="007F7A9C"/>
    <w:rsid w:val="0085575B"/>
    <w:rsid w:val="00962EE9"/>
    <w:rsid w:val="009C67B2"/>
    <w:rsid w:val="00A70052"/>
    <w:rsid w:val="00AC44CD"/>
    <w:rsid w:val="00B96C8E"/>
    <w:rsid w:val="00C07851"/>
    <w:rsid w:val="00C34434"/>
    <w:rsid w:val="00C45B55"/>
    <w:rsid w:val="00C83A35"/>
    <w:rsid w:val="00C94F00"/>
    <w:rsid w:val="00CA52EE"/>
    <w:rsid w:val="00CC6E0D"/>
    <w:rsid w:val="00D24584"/>
    <w:rsid w:val="00D348E7"/>
    <w:rsid w:val="00DA7031"/>
    <w:rsid w:val="00DE7769"/>
    <w:rsid w:val="00E02784"/>
    <w:rsid w:val="00E124BD"/>
    <w:rsid w:val="00E72806"/>
    <w:rsid w:val="00E805EB"/>
    <w:rsid w:val="00E96726"/>
    <w:rsid w:val="00EE4E34"/>
    <w:rsid w:val="00F21729"/>
    <w:rsid w:val="00F56F2D"/>
    <w:rsid w:val="00F60778"/>
    <w:rsid w:val="00FA0899"/>
    <w:rsid w:val="00FD09A1"/>
    <w:rsid w:val="00FE4849"/>
    <w:rsid w:val="09E73660"/>
    <w:rsid w:val="10C94215"/>
    <w:rsid w:val="14BF0E79"/>
    <w:rsid w:val="15CA62EE"/>
    <w:rsid w:val="16127A87"/>
    <w:rsid w:val="17510115"/>
    <w:rsid w:val="1CA03BAA"/>
    <w:rsid w:val="1E0E6C45"/>
    <w:rsid w:val="20F45EE7"/>
    <w:rsid w:val="2A075663"/>
    <w:rsid w:val="2C0B77EF"/>
    <w:rsid w:val="30EA4240"/>
    <w:rsid w:val="31BD2FC0"/>
    <w:rsid w:val="38B66B79"/>
    <w:rsid w:val="4A242EE8"/>
    <w:rsid w:val="555C73CD"/>
    <w:rsid w:val="5BC81856"/>
    <w:rsid w:val="604204B1"/>
    <w:rsid w:val="60E811EB"/>
    <w:rsid w:val="636B4880"/>
    <w:rsid w:val="6446715E"/>
    <w:rsid w:val="6B0F7633"/>
    <w:rsid w:val="73BE1AC3"/>
    <w:rsid w:val="75DE3E59"/>
    <w:rsid w:val="7A40081E"/>
    <w:rsid w:val="7CFE42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qFormat/>
    <w:uiPriority w:val="0"/>
    <w:pPr>
      <w:jc w:val="left"/>
    </w:pPr>
    <w:rPr>
      <w:rFonts w:ascii="Times New Roman" w:hAnsi="Times New Roman" w:eastAsia="宋体" w:cs="Times New Roman"/>
      <w:szCs w:val="24"/>
    </w:rPr>
  </w:style>
  <w:style w:type="paragraph" w:styleId="3">
    <w:name w:val="Balloon Text"/>
    <w:basedOn w:val="1"/>
    <w:link w:val="15"/>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rFonts w:asciiTheme="minorHAnsi" w:hAnsiTheme="minorHAnsi" w:eastAsiaTheme="minorEastAsia" w:cstheme="minorBidi"/>
      <w:b/>
      <w:bCs/>
      <w:szCs w:val="22"/>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unhideWhenUsed/>
    <w:uiPriority w:val="99"/>
    <w:rPr>
      <w:sz w:val="21"/>
      <w:szCs w:val="21"/>
    </w:rPr>
  </w:style>
  <w:style w:type="paragraph" w:styleId="11">
    <w:name w:val="List Paragraph"/>
    <w:basedOn w:val="1"/>
    <w:qFormat/>
    <w:uiPriority w:val="34"/>
    <w:pPr>
      <w:ind w:firstLine="420" w:firstLineChars="200"/>
    </w:p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99"/>
    <w:rPr>
      <w:sz w:val="18"/>
      <w:szCs w:val="18"/>
    </w:rPr>
  </w:style>
  <w:style w:type="character" w:customStyle="1" w:styleId="14">
    <w:name w:val="批注文字 字符"/>
    <w:basedOn w:val="9"/>
    <w:link w:val="2"/>
    <w:qFormat/>
    <w:uiPriority w:val="0"/>
    <w:rPr>
      <w:rFonts w:ascii="Times New Roman" w:hAnsi="Times New Roman" w:eastAsia="宋体" w:cs="Times New Roman"/>
      <w:szCs w:val="24"/>
    </w:rPr>
  </w:style>
  <w:style w:type="character" w:customStyle="1" w:styleId="15">
    <w:name w:val="批注框文本 字符"/>
    <w:basedOn w:val="9"/>
    <w:link w:val="3"/>
    <w:semiHidden/>
    <w:qFormat/>
    <w:uiPriority w:val="99"/>
    <w:rPr>
      <w:sz w:val="18"/>
      <w:szCs w:val="18"/>
    </w:rPr>
  </w:style>
  <w:style w:type="character" w:customStyle="1" w:styleId="16">
    <w:name w:val="批注主题 字符"/>
    <w:basedOn w:val="14"/>
    <w:link w:val="6"/>
    <w:semiHidden/>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1160</Words>
  <Characters>6614</Characters>
  <Lines>55</Lines>
  <Paragraphs>15</Paragraphs>
  <TotalTime>5</TotalTime>
  <ScaleCrop>false</ScaleCrop>
  <LinksUpToDate>false</LinksUpToDate>
  <CharactersWithSpaces>7759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2021-05-18T12:36:00Z</dcterms:created>
  <dc:creator>hep</dc:creator>
  <cp:lastModifiedBy>彭必友</cp:lastModifiedBy>
  <dcterms:modified xsi:type="dcterms:W3CDTF">2021-05-18T14:06:41Z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FCF1A28435F54E779C65CE75848FA721</vt:lpwstr>
  </property>
</Properties>
</file>