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第二批国家</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hint="eastAsia" w:ascii="黑体" w:hAnsi="黑体" w:eastAsia="黑体"/>
          <w:sz w:val="32"/>
          <w:szCs w:val="36"/>
          <w:lang w:val="en-US" w:eastAsia="zh-CN"/>
        </w:rPr>
      </w:pPr>
      <w:r>
        <w:rPr>
          <w:rFonts w:hint="eastAsia" w:ascii="黑体" w:hAnsi="黑体" w:eastAsia="黑体"/>
          <w:sz w:val="32"/>
          <w:szCs w:val="36"/>
        </w:rPr>
        <w:t>课程名称：</w:t>
      </w:r>
      <w:r>
        <w:rPr>
          <w:rFonts w:hint="eastAsia" w:ascii="黑体" w:hAnsi="黑体" w:eastAsia="黑体"/>
          <w:sz w:val="32"/>
          <w:szCs w:val="36"/>
          <w:lang w:eastAsia="zh-CN"/>
        </w:rPr>
        <w:t>微生物学</w:t>
      </w:r>
    </w:p>
    <w:p>
      <w:pPr>
        <w:spacing w:line="560" w:lineRule="exact"/>
        <w:ind w:right="28" w:firstLine="1280" w:firstLineChars="400"/>
        <w:rPr>
          <w:rFonts w:hint="default" w:ascii="黑体" w:hAnsi="黑体" w:eastAsia="黑体"/>
          <w:sz w:val="32"/>
          <w:szCs w:val="36"/>
          <w:u w:val="single"/>
          <w:lang w:val="en-US" w:eastAsia="zh-CN"/>
        </w:rPr>
      </w:pPr>
      <w:r>
        <w:rPr>
          <w:rFonts w:hint="eastAsia" w:ascii="黑体" w:hAnsi="黑体" w:eastAsia="黑体"/>
          <w:sz w:val="32"/>
          <w:szCs w:val="36"/>
        </w:rPr>
        <w:t>专业类代码：</w:t>
      </w:r>
      <w:r>
        <w:rPr>
          <w:rFonts w:hint="eastAsia" w:ascii="黑体" w:hAnsi="黑体" w:eastAsia="黑体"/>
          <w:sz w:val="32"/>
          <w:szCs w:val="36"/>
          <w:lang w:val="en-US" w:eastAsia="zh-CN"/>
        </w:rPr>
        <w:t>082702</w:t>
      </w:r>
    </w:p>
    <w:p>
      <w:pPr>
        <w:spacing w:line="560" w:lineRule="exact"/>
        <w:ind w:right="28" w:firstLine="1280" w:firstLineChars="400"/>
        <w:rPr>
          <w:rFonts w:hint="eastAsia" w:ascii="黑体" w:hAnsi="黑体" w:eastAsia="黑体"/>
          <w:sz w:val="32"/>
          <w:szCs w:val="36"/>
          <w:u w:val="single"/>
          <w:lang w:eastAsia="zh-CN"/>
        </w:rPr>
      </w:pPr>
      <w:r>
        <w:rPr>
          <w:rFonts w:hint="eastAsia" w:ascii="黑体" w:hAnsi="黑体" w:eastAsia="黑体"/>
          <w:sz w:val="32"/>
          <w:szCs w:val="36"/>
        </w:rPr>
        <w:t>课程负责人：</w:t>
      </w:r>
      <w:r>
        <w:rPr>
          <w:rFonts w:hint="eastAsia" w:ascii="黑体" w:hAnsi="黑体" w:eastAsia="黑体"/>
          <w:sz w:val="32"/>
          <w:szCs w:val="36"/>
          <w:lang w:eastAsia="zh-CN"/>
        </w:rPr>
        <w:t>焦士蓉</w:t>
      </w:r>
    </w:p>
    <w:p>
      <w:pPr>
        <w:spacing w:line="560" w:lineRule="exact"/>
        <w:ind w:right="28" w:firstLine="1280" w:firstLineChars="400"/>
        <w:rPr>
          <w:rFonts w:hint="default" w:ascii="黑体" w:hAnsi="黑体" w:eastAsia="黑体"/>
          <w:sz w:val="32"/>
          <w:szCs w:val="36"/>
          <w:lang w:val="en-US" w:eastAsia="zh-CN"/>
        </w:rPr>
      </w:pPr>
      <w:r>
        <w:rPr>
          <w:rFonts w:hint="eastAsia" w:ascii="黑体" w:hAnsi="黑体" w:eastAsia="黑体"/>
          <w:sz w:val="32"/>
          <w:szCs w:val="36"/>
        </w:rPr>
        <w:t>联系电话：</w:t>
      </w:r>
      <w:r>
        <w:rPr>
          <w:rFonts w:hint="eastAsia" w:ascii="黑体" w:hAnsi="黑体" w:eastAsia="黑体"/>
          <w:sz w:val="32"/>
          <w:szCs w:val="36"/>
          <w:lang w:val="en-US" w:eastAsia="zh-CN"/>
        </w:rPr>
        <w:t>13882002899</w:t>
      </w:r>
    </w:p>
    <w:p>
      <w:pPr>
        <w:spacing w:line="560" w:lineRule="exact"/>
        <w:ind w:right="28" w:firstLine="1280" w:firstLineChars="400"/>
        <w:rPr>
          <w:rFonts w:hint="eastAsia" w:ascii="黑体" w:hAnsi="黑体" w:eastAsia="黑体"/>
          <w:sz w:val="32"/>
          <w:szCs w:val="36"/>
          <w:u w:val="single"/>
          <w:lang w:eastAsia="zh-CN"/>
        </w:rPr>
      </w:pPr>
      <w:r>
        <w:rPr>
          <w:rFonts w:hint="eastAsia" w:ascii="黑体" w:hAnsi="黑体" w:eastAsia="黑体"/>
          <w:sz w:val="32"/>
          <w:szCs w:val="36"/>
        </w:rPr>
        <w:t>申报学校：</w:t>
      </w:r>
      <w:r>
        <w:rPr>
          <w:rFonts w:hint="eastAsia" w:ascii="黑体" w:hAnsi="黑体" w:eastAsia="黑体"/>
          <w:sz w:val="32"/>
          <w:szCs w:val="36"/>
          <w:lang w:eastAsia="zh-CN"/>
        </w:rPr>
        <w:t>西华大学</w:t>
      </w:r>
    </w:p>
    <w:p>
      <w:pPr>
        <w:snapToGrid w:val="0"/>
        <w:spacing w:line="560" w:lineRule="exact"/>
        <w:ind w:firstLine="1280" w:firstLineChars="400"/>
        <w:jc w:val="left"/>
        <w:rPr>
          <w:rFonts w:hint="default" w:ascii="黑体" w:hAnsi="黑体" w:eastAsia="黑体"/>
          <w:sz w:val="32"/>
          <w:szCs w:val="36"/>
          <w:lang w:val="en-US" w:eastAsia="zh-CN"/>
        </w:rPr>
      </w:pPr>
      <w:r>
        <w:rPr>
          <w:rFonts w:hint="eastAsia" w:ascii="黑体" w:hAnsi="黑体" w:eastAsia="黑体"/>
          <w:sz w:val="32"/>
          <w:szCs w:val="36"/>
        </w:rPr>
        <w:t>填表日期：</w:t>
      </w:r>
      <w:r>
        <w:rPr>
          <w:rFonts w:hint="eastAsia" w:ascii="黑体" w:hAnsi="黑体" w:eastAsia="黑体"/>
          <w:sz w:val="32"/>
          <w:szCs w:val="36"/>
          <w:lang w:val="en-US" w:eastAsia="zh-CN"/>
        </w:rPr>
        <w:t>2021.05.18</w:t>
      </w:r>
    </w:p>
    <w:p>
      <w:pPr>
        <w:snapToGrid w:val="0"/>
        <w:spacing w:line="560" w:lineRule="exact"/>
        <w:ind w:firstLine="1280" w:firstLineChars="400"/>
        <w:jc w:val="left"/>
        <w:rPr>
          <w:rFonts w:hint="eastAsia" w:ascii="黑体" w:hAnsi="黑体" w:eastAsia="黑体"/>
          <w:sz w:val="28"/>
          <w:lang w:eastAsia="zh-CN"/>
        </w:rPr>
      </w:pPr>
      <w:r>
        <w:rPr>
          <w:rFonts w:ascii="黑体" w:hAnsi="黑体" w:eastAsia="黑体"/>
          <w:sz w:val="32"/>
          <w:szCs w:val="36"/>
        </w:rPr>
        <w:t>推荐</w:t>
      </w:r>
      <w:r>
        <w:rPr>
          <w:rFonts w:hint="eastAsia" w:ascii="黑体" w:hAnsi="黑体" w:eastAsia="黑体"/>
          <w:sz w:val="32"/>
          <w:szCs w:val="36"/>
        </w:rPr>
        <w:t>单位：</w:t>
      </w:r>
      <w:r>
        <w:rPr>
          <w:rFonts w:hint="eastAsia" w:ascii="黑体" w:hAnsi="黑体" w:eastAsia="黑体"/>
          <w:sz w:val="32"/>
          <w:szCs w:val="36"/>
          <w:lang w:eastAsia="zh-CN"/>
        </w:rPr>
        <w:t>西华大学食品与生物工程学院</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eastAsia="zh-CN"/>
              </w:rPr>
              <w:t>微生物学</w:t>
            </w: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eastAsia="zh-CN"/>
              </w:rPr>
              <w:t>焦士蓉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eastAsia="zh-CN"/>
              </w:rPr>
              <w:t>西华大学食品与生物工程学院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hint="default" w:ascii="仿宋_GB2312" w:hAnsi="仿宋_GB2312" w:eastAsia="仿宋_GB2312" w:cs="仿宋_GB2312"/>
                <w:kern w:val="0"/>
                <w:sz w:val="24"/>
                <w:szCs w:val="24"/>
                <w:lang w:val="en-US" w:eastAsia="zh-CN"/>
              </w:rPr>
            </w:pPr>
            <w:r>
              <w:rPr>
                <w:rFonts w:hint="eastAsia" w:ascii="Times New Roman" w:hAnsi="Times New Roman" w:eastAsia="楷体" w:cs="Times New Roman"/>
                <w:sz w:val="24"/>
                <w:szCs w:val="24"/>
                <w:lang w:val="en-US" w:eastAsia="zh-CN"/>
              </w:rPr>
              <w:t>150501659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○通识课 ○公共基础课 </w:t>
            </w: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rPr>
              <w:t>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 xml:space="preserve">□思想政治理论课 □创新创业教育课 </w:t>
            </w:r>
            <w:r>
              <w:rPr>
                <w:rFonts w:hint="eastAsia" w:ascii="仿宋_GB2312" w:hAnsi="仿宋_GB2312" w:eastAsia="仿宋_GB2312" w:cs="仿宋_GB2312"/>
                <w:kern w:val="0"/>
                <w:sz w:val="24"/>
                <w:szCs w:val="24"/>
                <w:lang w:eastAsia="zh-CN"/>
              </w:rPr>
              <w:t>√</w:t>
            </w:r>
            <w:r>
              <w:rPr>
                <w:rFonts w:hint="eastAsia" w:ascii="仿宋_GB2312" w:eastAsia="仿宋_GB2312" w:hAnsiTheme="majorEastAsia"/>
                <w:kern w:val="0"/>
                <w:sz w:val="24"/>
                <w:szCs w:val="24"/>
              </w:rPr>
              <w:t>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二年级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食品科学与工程、食品质量与安全、生物工程、制药工程、环境工程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生物化学、</w:t>
            </w:r>
            <w:r>
              <w:rPr>
                <w:rFonts w:hint="eastAsia"/>
                <w:bCs/>
                <w:szCs w:val="21"/>
              </w:rPr>
              <w:t>无机及分析化学、有机化学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 w:hAnsi="仿宋" w:eastAsia="仿宋" w:cs="仿宋"/>
                <w:bCs/>
                <w:sz w:val="24"/>
                <w:szCs w:val="24"/>
              </w:rPr>
              <w:t>食品工艺原理、生物工艺原理、食品安全学、食品法规及生产管理、食品贮藏与保鲜技术、发酵食品加工技术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《微生物学教程》第</w:t>
            </w:r>
            <w:r>
              <w:rPr>
                <w:rFonts w:hint="eastAsia" w:ascii="仿宋_GB2312" w:hAnsi="仿宋_GB2312" w:eastAsia="仿宋_GB2312" w:cs="仿宋_GB2312"/>
                <w:kern w:val="0"/>
                <w:sz w:val="24"/>
                <w:szCs w:val="24"/>
                <w:lang w:val="en-US" w:eastAsia="zh-CN"/>
              </w:rPr>
              <w:t>4</w:t>
            </w:r>
            <w:r>
              <w:rPr>
                <w:rFonts w:hint="eastAsia" w:ascii="仿宋_GB2312" w:hAnsi="仿宋_GB2312" w:eastAsia="仿宋_GB2312" w:cs="仿宋_GB2312"/>
                <w:kern w:val="0"/>
                <w:sz w:val="24"/>
                <w:szCs w:val="24"/>
              </w:rPr>
              <w:t>版、</w:t>
            </w:r>
            <w:r>
              <w:rPr>
                <w:rFonts w:ascii="仿宋_GB2312" w:hAnsi="仿宋_GB2312" w:eastAsia="仿宋_GB2312" w:cs="仿宋_GB2312"/>
                <w:kern w:val="0"/>
                <w:sz w:val="24"/>
                <w:szCs w:val="24"/>
              </w:rPr>
              <w:t>ISBN-978</w:t>
            </w:r>
            <w:r>
              <w:rPr>
                <w:rFonts w:hint="eastAsia" w:ascii="仿宋_GB2312" w:hAnsi="仿宋_GB2312" w:eastAsia="仿宋_GB2312" w:cs="仿宋_GB2312"/>
                <w:kern w:val="0"/>
                <w:sz w:val="24"/>
                <w:szCs w:val="24"/>
                <w:lang w:val="en-US" w:eastAsia="zh-CN"/>
              </w:rPr>
              <w:t>-</w:t>
            </w:r>
            <w:r>
              <w:rPr>
                <w:rFonts w:ascii="仿宋_GB2312" w:hAnsi="仿宋_GB2312" w:eastAsia="仿宋_GB2312" w:cs="仿宋_GB2312"/>
                <w:kern w:val="0"/>
                <w:sz w:val="24"/>
                <w:szCs w:val="24"/>
              </w:rPr>
              <w:t>7</w:t>
            </w:r>
            <w:r>
              <w:rPr>
                <w:rFonts w:hint="eastAsia" w:ascii="仿宋_GB2312" w:hAnsi="仿宋_GB2312" w:eastAsia="仿宋_GB2312" w:cs="仿宋_GB2312"/>
                <w:kern w:val="0"/>
                <w:sz w:val="24"/>
                <w:szCs w:val="24"/>
                <w:lang w:val="en-US" w:eastAsia="zh-CN"/>
              </w:rPr>
              <w:t>-</w:t>
            </w:r>
            <w:r>
              <w:rPr>
                <w:rFonts w:ascii="仿宋_GB2312" w:hAnsi="仿宋_GB2312" w:eastAsia="仿宋_GB2312" w:cs="仿宋_GB2312"/>
                <w:kern w:val="0"/>
                <w:sz w:val="24"/>
                <w:szCs w:val="24"/>
              </w:rPr>
              <w:t>04</w:t>
            </w:r>
            <w:r>
              <w:rPr>
                <w:rFonts w:hint="eastAsia" w:ascii="仿宋_GB2312" w:hAnsi="仿宋_GB2312" w:eastAsia="仿宋_GB2312" w:cs="仿宋_GB2312"/>
                <w:kern w:val="0"/>
                <w:sz w:val="24"/>
                <w:szCs w:val="24"/>
                <w:lang w:val="en-US" w:eastAsia="zh-CN"/>
              </w:rPr>
              <w:t>-052197</w:t>
            </w:r>
            <w:r>
              <w:rPr>
                <w:rFonts w:hint="eastAsia" w:ascii="仿宋_GB2312" w:hAnsi="仿宋_GB2312" w:eastAsia="仿宋_GB2312" w:cs="仿宋_GB2312"/>
                <w:kern w:val="0"/>
                <w:sz w:val="24"/>
                <w:szCs w:val="24"/>
              </w:rPr>
              <w:t>、周德庆、</w:t>
            </w:r>
            <w:r>
              <w:rPr>
                <w:rFonts w:hint="eastAsia" w:ascii="仿宋_GB2312" w:hAnsi="仿宋_GB2312" w:eastAsia="仿宋_GB2312" w:cs="仿宋_GB2312"/>
                <w:kern w:val="0"/>
                <w:sz w:val="24"/>
                <w:szCs w:val="24"/>
                <w:lang w:eastAsia="zh-CN"/>
              </w:rPr>
              <w:t>北京：</w:t>
            </w:r>
            <w:r>
              <w:rPr>
                <w:rFonts w:hint="eastAsia" w:ascii="仿宋_GB2312" w:hAnsi="仿宋_GB2312" w:eastAsia="仿宋_GB2312" w:cs="仿宋_GB2312"/>
                <w:kern w:val="0"/>
                <w:sz w:val="24"/>
                <w:szCs w:val="24"/>
              </w:rPr>
              <w:t>高等教育出版社、</w:t>
            </w:r>
            <w:r>
              <w:rPr>
                <w:rFonts w:ascii="仿宋_GB2312" w:hAnsi="仿宋_GB2312" w:eastAsia="仿宋_GB2312" w:cs="仿宋_GB2312"/>
                <w:kern w:val="0"/>
                <w:sz w:val="24"/>
                <w:szCs w:val="24"/>
              </w:rPr>
              <w:t>20</w:t>
            </w:r>
            <w:r>
              <w:rPr>
                <w:rFonts w:hint="eastAsia" w:ascii="仿宋_GB2312" w:hAnsi="仿宋_GB2312" w:eastAsia="仿宋_GB2312" w:cs="仿宋_GB2312"/>
                <w:kern w:val="0"/>
                <w:sz w:val="24"/>
                <w:szCs w:val="24"/>
                <w:lang w:val="en-US" w:eastAsia="zh-CN"/>
              </w:rPr>
              <w:t>20.4</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hint="default" w:ascii="仿宋_GB2312" w:hAnsi="仿宋_GB2312" w:eastAsia="仿宋_GB2312" w:cs="仿宋_GB2312"/>
                <w:kern w:val="0"/>
                <w:sz w:val="24"/>
                <w:szCs w:val="24"/>
                <w:lang w:val="en-US" w:eastAsia="zh-CN"/>
              </w:rPr>
            </w:pPr>
            <w:r>
              <w:rPr>
                <w:rFonts w:ascii="仿宋_GB2312" w:hAnsi="仿宋_GB2312" w:eastAsia="仿宋_GB2312" w:cs="仿宋_GB2312"/>
                <w:kern w:val="0"/>
                <w:sz w:val="24"/>
                <w:szCs w:val="24"/>
              </w:rPr>
              <w:t>2019</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2</w:t>
            </w:r>
            <w:r>
              <w:rPr>
                <w:rFonts w:hint="eastAsia" w:ascii="仿宋_GB2312" w:hAnsi="仿宋_GB2312" w:eastAsia="仿宋_GB2312" w:cs="仿宋_GB2312"/>
                <w:kern w:val="0"/>
                <w:sz w:val="24"/>
                <w:szCs w:val="24"/>
              </w:rPr>
              <w:t>月</w:t>
            </w:r>
            <w:r>
              <w:rPr>
                <w:rFonts w:hint="eastAsia" w:ascii="仿宋_GB2312" w:hAnsi="仿宋_GB2312" w:eastAsia="仿宋_GB2312" w:cs="仿宋_GB2312"/>
                <w:kern w:val="0"/>
                <w:sz w:val="24"/>
                <w:szCs w:val="24"/>
                <w:lang w:val="en-US" w:eastAsia="zh-CN"/>
              </w:rPr>
              <w:t>2</w:t>
            </w:r>
            <w:r>
              <w:rPr>
                <w:rFonts w:ascii="仿宋_GB2312" w:hAnsi="仿宋_GB2312" w:eastAsia="仿宋_GB2312" w:cs="仿宋_GB2312"/>
                <w:kern w:val="0"/>
                <w:sz w:val="24"/>
                <w:szCs w:val="24"/>
              </w:rPr>
              <w:t>5</w:t>
            </w:r>
            <w:r>
              <w:rPr>
                <w:rFonts w:hint="eastAsia" w:ascii="仿宋_GB2312" w:hAnsi="仿宋_GB2312" w:eastAsia="仿宋_GB2312" w:cs="仿宋_GB2312"/>
                <w:kern w:val="0"/>
                <w:sz w:val="24"/>
                <w:szCs w:val="24"/>
              </w:rPr>
              <w:t>日</w:t>
            </w:r>
            <w:r>
              <w:rPr>
                <w:rFonts w:hint="eastAsia" w:ascii="仿宋_GB2312" w:hAnsi="仿宋_GB2312" w:eastAsia="仿宋_GB2312" w:cs="仿宋_GB2312"/>
                <w:kern w:val="0"/>
                <w:sz w:val="24"/>
                <w:szCs w:val="24"/>
                <w:lang w:val="en-US" w:eastAsia="zh-CN"/>
              </w:rPr>
              <w:t>-</w:t>
            </w:r>
            <w:r>
              <w:rPr>
                <w:rFonts w:ascii="仿宋_GB2312" w:hAnsi="仿宋_GB2312" w:eastAsia="仿宋_GB2312" w:cs="仿宋_GB2312"/>
                <w:kern w:val="0"/>
                <w:sz w:val="24"/>
                <w:szCs w:val="24"/>
              </w:rPr>
              <w:t>2019</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5</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28</w:t>
            </w:r>
            <w:r>
              <w:rPr>
                <w:rFonts w:hint="eastAsia" w:ascii="仿宋_GB2312" w:hAnsi="仿宋_GB2312" w:eastAsia="仿宋_GB2312" w:cs="仿宋_GB2312"/>
                <w:kern w:val="0"/>
                <w:sz w:val="24"/>
                <w:szCs w:val="24"/>
              </w:rPr>
              <w:t>日</w:t>
            </w:r>
            <w:r>
              <w:rPr>
                <w:rFonts w:hint="eastAsia" w:ascii="仿宋_GB2312" w:hAnsi="仿宋_GB2312" w:eastAsia="仿宋_GB2312" w:cs="仿宋_GB2312"/>
                <w:kern w:val="0"/>
                <w:sz w:val="24"/>
                <w:szCs w:val="24"/>
                <w:lang w:val="en-US" w:eastAsia="zh-CN"/>
              </w:rPr>
              <w:t xml:space="preserve"> 微生物学 焦士蓉 </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hint="eastAsia" w:ascii="仿宋_GB2312" w:hAnsi="仿宋_GB2312" w:eastAsia="仿宋_GB2312" w:cs="仿宋_GB2312"/>
                <w:kern w:val="0"/>
                <w:sz w:val="24"/>
                <w:szCs w:val="24"/>
              </w:rPr>
            </w:pPr>
            <w:r>
              <w:rPr>
                <w:rFonts w:ascii="仿宋_GB2312" w:hAnsi="仿宋_GB2312" w:eastAsia="仿宋_GB2312" w:cs="仿宋_GB2312"/>
                <w:kern w:val="0"/>
                <w:sz w:val="24"/>
                <w:szCs w:val="24"/>
              </w:rPr>
              <w:t>20</w:t>
            </w:r>
            <w:r>
              <w:rPr>
                <w:rFonts w:hint="eastAsia" w:ascii="仿宋_GB2312" w:hAnsi="仿宋_GB2312" w:eastAsia="仿宋_GB2312" w:cs="仿宋_GB2312"/>
                <w:kern w:val="0"/>
                <w:sz w:val="24"/>
                <w:szCs w:val="24"/>
                <w:lang w:val="en-US" w:eastAsia="zh-CN"/>
              </w:rPr>
              <w:t>20</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2</w:t>
            </w:r>
            <w:r>
              <w:rPr>
                <w:rFonts w:hint="eastAsia" w:ascii="仿宋_GB2312" w:hAnsi="仿宋_GB2312" w:eastAsia="仿宋_GB2312" w:cs="仿宋_GB2312"/>
                <w:kern w:val="0"/>
                <w:sz w:val="24"/>
                <w:szCs w:val="24"/>
              </w:rPr>
              <w:t>月</w:t>
            </w:r>
            <w:r>
              <w:rPr>
                <w:rFonts w:hint="eastAsia" w:ascii="仿宋_GB2312" w:hAnsi="仿宋_GB2312" w:eastAsia="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eastAsia="仿宋_GB2312" w:cs="仿宋_GB2312"/>
                <w:kern w:val="0"/>
                <w:sz w:val="24"/>
                <w:szCs w:val="24"/>
                <w:lang w:val="en-US" w:eastAsia="zh-CN"/>
              </w:rPr>
              <w:t>-</w:t>
            </w:r>
            <w:r>
              <w:rPr>
                <w:rFonts w:ascii="仿宋_GB2312" w:hAnsi="仿宋_GB2312" w:eastAsia="仿宋_GB2312" w:cs="仿宋_GB2312"/>
                <w:kern w:val="0"/>
                <w:sz w:val="24"/>
                <w:szCs w:val="24"/>
              </w:rPr>
              <w:t>20</w:t>
            </w:r>
            <w:r>
              <w:rPr>
                <w:rFonts w:hint="eastAsia" w:ascii="仿宋_GB2312" w:hAnsi="仿宋_GB2312" w:eastAsia="仿宋_GB2312" w:cs="仿宋_GB2312"/>
                <w:kern w:val="0"/>
                <w:sz w:val="24"/>
                <w:szCs w:val="24"/>
                <w:lang w:val="en-US" w:eastAsia="zh-CN"/>
              </w:rPr>
              <w:t>20</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5</w:t>
            </w:r>
            <w:r>
              <w:rPr>
                <w:rFonts w:hint="eastAsia" w:ascii="仿宋_GB2312" w:hAnsi="仿宋_GB2312" w:eastAsia="仿宋_GB2312" w:cs="仿宋_GB2312"/>
                <w:kern w:val="0"/>
                <w:sz w:val="24"/>
                <w:szCs w:val="24"/>
              </w:rPr>
              <w:t>月</w:t>
            </w:r>
            <w:r>
              <w:rPr>
                <w:rFonts w:hint="eastAsia" w:ascii="仿宋_GB2312" w:hAnsi="仿宋_GB2312" w:eastAsia="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eastAsia="仿宋_GB2312" w:cs="仿宋_GB2312"/>
                <w:kern w:val="0"/>
                <w:sz w:val="24"/>
                <w:szCs w:val="24"/>
                <w:lang w:val="en-US" w:eastAsia="zh-CN"/>
              </w:rPr>
              <w:t xml:space="preserve"> 微生物学 焦士蓉</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94</w:t>
            </w: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焦士蓉</w:t>
            </w:r>
          </w:p>
        </w:tc>
        <w:tc>
          <w:tcPr>
            <w:tcW w:w="1215"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食品与生物工程学院</w:t>
            </w:r>
          </w:p>
        </w:tc>
        <w:tc>
          <w:tcPr>
            <w:tcW w:w="729" w:type="dxa"/>
            <w:vAlign w:val="top"/>
          </w:tcPr>
          <w:p>
            <w:pPr>
              <w:spacing w:line="340" w:lineRule="atLeast"/>
              <w:rPr>
                <w:rFonts w:ascii="宋体" w:hAnsi="宋体" w:cs="仿宋_GB2312" w:eastAsiaTheme="minorEastAsia"/>
                <w:kern w:val="0"/>
                <w:sz w:val="21"/>
                <w:szCs w:val="21"/>
                <w:lang w:val="en-US" w:eastAsia="zh-CN" w:bidi="ar-SA"/>
              </w:rPr>
            </w:pPr>
            <w:r>
              <w:rPr>
                <w:rFonts w:ascii="宋体" w:hAnsi="宋体" w:cs="仿宋_GB2312"/>
                <w:kern w:val="0"/>
                <w:szCs w:val="21"/>
              </w:rPr>
              <w:t>1968.01</w:t>
            </w:r>
          </w:p>
        </w:tc>
        <w:tc>
          <w:tcPr>
            <w:tcW w:w="734"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无</w:t>
            </w:r>
          </w:p>
        </w:tc>
        <w:tc>
          <w:tcPr>
            <w:tcW w:w="733"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教授</w:t>
            </w:r>
          </w:p>
        </w:tc>
        <w:tc>
          <w:tcPr>
            <w:tcW w:w="1209" w:type="dxa"/>
            <w:vAlign w:val="top"/>
          </w:tcPr>
          <w:p>
            <w:pPr>
              <w:spacing w:line="340" w:lineRule="atLeast"/>
              <w:rPr>
                <w:rFonts w:ascii="宋体" w:hAnsi="宋体" w:cs="仿宋_GB2312" w:eastAsiaTheme="minorEastAsia"/>
                <w:kern w:val="0"/>
                <w:sz w:val="21"/>
                <w:szCs w:val="21"/>
                <w:lang w:val="en-US" w:eastAsia="zh-CN" w:bidi="ar-SA"/>
              </w:rPr>
            </w:pPr>
            <w:r>
              <w:rPr>
                <w:rFonts w:ascii="宋体" w:hAnsi="宋体" w:cs="仿宋_GB2312"/>
                <w:kern w:val="0"/>
                <w:szCs w:val="21"/>
              </w:rPr>
              <w:t>13882002899</w:t>
            </w:r>
          </w:p>
        </w:tc>
        <w:tc>
          <w:tcPr>
            <w:tcW w:w="1212" w:type="dxa"/>
            <w:vAlign w:val="top"/>
          </w:tcPr>
          <w:p>
            <w:pPr>
              <w:spacing w:line="340" w:lineRule="atLeast"/>
              <w:rPr>
                <w:rFonts w:ascii="宋体" w:hAnsi="宋体" w:cs="仿宋_GB2312" w:eastAsiaTheme="minorEastAsia"/>
                <w:kern w:val="0"/>
                <w:sz w:val="21"/>
                <w:szCs w:val="21"/>
                <w:lang w:val="en-US" w:eastAsia="zh-CN" w:bidi="ar-SA"/>
              </w:rPr>
            </w:pPr>
            <w:r>
              <w:rPr>
                <w:rFonts w:ascii="宋体" w:hAnsi="宋体" w:cs="仿宋_GB2312"/>
                <w:kern w:val="0"/>
                <w:szCs w:val="21"/>
              </w:rPr>
              <w:t>Jsrong2004@163.com</w:t>
            </w:r>
          </w:p>
        </w:tc>
        <w:tc>
          <w:tcPr>
            <w:tcW w:w="1209"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课程讲授及实验指导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车振明</w:t>
            </w:r>
          </w:p>
        </w:tc>
        <w:tc>
          <w:tcPr>
            <w:tcW w:w="1215"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食品与生物工程学院</w:t>
            </w:r>
          </w:p>
        </w:tc>
        <w:tc>
          <w:tcPr>
            <w:tcW w:w="729" w:type="dxa"/>
            <w:vAlign w:val="top"/>
          </w:tcPr>
          <w:p>
            <w:pPr>
              <w:spacing w:line="340" w:lineRule="atLeast"/>
              <w:rPr>
                <w:rFonts w:ascii="宋体" w:hAnsi="宋体" w:cs="仿宋_GB2312" w:eastAsiaTheme="minorEastAsia"/>
                <w:kern w:val="0"/>
                <w:sz w:val="21"/>
                <w:szCs w:val="21"/>
                <w:lang w:val="en-US" w:eastAsia="zh-CN" w:bidi="ar-SA"/>
              </w:rPr>
            </w:pPr>
            <w:r>
              <w:rPr>
                <w:rFonts w:ascii="宋体" w:hAnsi="宋体" w:cs="仿宋_GB2312"/>
                <w:kern w:val="0"/>
                <w:szCs w:val="21"/>
              </w:rPr>
              <w:t>1960.09</w:t>
            </w:r>
          </w:p>
        </w:tc>
        <w:tc>
          <w:tcPr>
            <w:tcW w:w="734"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无</w:t>
            </w:r>
          </w:p>
        </w:tc>
        <w:tc>
          <w:tcPr>
            <w:tcW w:w="733"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教授</w:t>
            </w:r>
          </w:p>
        </w:tc>
        <w:tc>
          <w:tcPr>
            <w:tcW w:w="1209" w:type="dxa"/>
            <w:vAlign w:val="top"/>
          </w:tcPr>
          <w:p>
            <w:pPr>
              <w:spacing w:line="340" w:lineRule="atLeast"/>
              <w:rPr>
                <w:rFonts w:ascii="宋体" w:cs="仿宋_GB2312" w:hAnsiTheme="minorHAnsi" w:eastAsiaTheme="minorEastAsia"/>
                <w:kern w:val="0"/>
                <w:sz w:val="21"/>
                <w:szCs w:val="21"/>
                <w:lang w:val="en-US" w:eastAsia="zh-CN" w:bidi="ar-SA"/>
              </w:rPr>
            </w:pPr>
            <w:r>
              <w:rPr>
                <w:rFonts w:ascii="宋体" w:hAnsi="宋体"/>
                <w:szCs w:val="21"/>
              </w:rPr>
              <w:t>13540326593</w:t>
            </w:r>
          </w:p>
        </w:tc>
        <w:tc>
          <w:tcPr>
            <w:tcW w:w="1212" w:type="dxa"/>
            <w:vAlign w:val="top"/>
          </w:tcPr>
          <w:p>
            <w:pPr>
              <w:spacing w:line="340" w:lineRule="atLeast"/>
              <w:rPr>
                <w:rFonts w:ascii="宋体" w:cs="仿宋_GB2312" w:hAnsiTheme="minorHAnsi" w:eastAsiaTheme="minorEastAsia"/>
                <w:kern w:val="0"/>
                <w:sz w:val="21"/>
                <w:szCs w:val="21"/>
                <w:lang w:val="en-US" w:eastAsia="zh-CN" w:bidi="ar-SA"/>
              </w:rPr>
            </w:pPr>
            <w:r>
              <w:rPr>
                <w:rFonts w:ascii="宋体" w:hAnsi="宋体"/>
                <w:szCs w:val="21"/>
              </w:rPr>
              <w:t>chezhenming@163.com</w:t>
            </w:r>
          </w:p>
        </w:tc>
        <w:tc>
          <w:tcPr>
            <w:tcW w:w="1209"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课程讲授及实验指导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cs="仿宋_GB2312"/>
                <w:kern w:val="0"/>
                <w:szCs w:val="21"/>
              </w:rPr>
              <w:t>饶瑜</w:t>
            </w:r>
          </w:p>
        </w:tc>
        <w:tc>
          <w:tcPr>
            <w:tcW w:w="1215"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食品与生物工程学院</w:t>
            </w:r>
          </w:p>
        </w:tc>
        <w:tc>
          <w:tcPr>
            <w:tcW w:w="729" w:type="dxa"/>
            <w:vAlign w:val="top"/>
          </w:tcPr>
          <w:p>
            <w:pPr>
              <w:spacing w:line="340" w:lineRule="atLeast"/>
              <w:rPr>
                <w:rFonts w:ascii="宋体" w:cs="仿宋_GB2312" w:hAnsiTheme="minorHAnsi" w:eastAsiaTheme="minorEastAsia"/>
                <w:kern w:val="0"/>
                <w:sz w:val="21"/>
                <w:szCs w:val="21"/>
                <w:lang w:val="en-US" w:eastAsia="zh-CN" w:bidi="ar-SA"/>
              </w:rPr>
            </w:pPr>
            <w:r>
              <w:rPr>
                <w:rFonts w:ascii="宋体" w:hAnsi="宋体" w:cs="仿宋_GB2312"/>
                <w:kern w:val="0"/>
                <w:szCs w:val="21"/>
              </w:rPr>
              <w:t>1982.06</w:t>
            </w:r>
          </w:p>
        </w:tc>
        <w:tc>
          <w:tcPr>
            <w:tcW w:w="734"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cs="仿宋_GB2312"/>
                <w:kern w:val="0"/>
                <w:szCs w:val="21"/>
              </w:rPr>
              <w:t>无</w:t>
            </w:r>
          </w:p>
        </w:tc>
        <w:tc>
          <w:tcPr>
            <w:tcW w:w="733" w:type="dxa"/>
            <w:vAlign w:val="top"/>
          </w:tcPr>
          <w:p>
            <w:pPr>
              <w:spacing w:line="340" w:lineRule="atLeast"/>
              <w:rPr>
                <w:rFonts w:ascii="宋体" w:cs="仿宋_GB2312"/>
                <w:kern w:val="0"/>
                <w:szCs w:val="21"/>
              </w:rPr>
            </w:pPr>
            <w:r>
              <w:rPr>
                <w:rFonts w:hint="eastAsia" w:ascii="宋体" w:hAnsi="宋体" w:cs="仿宋_GB2312"/>
                <w:kern w:val="0"/>
                <w:szCs w:val="21"/>
              </w:rPr>
              <w:t>副</w:t>
            </w:r>
          </w:p>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教授</w:t>
            </w:r>
          </w:p>
        </w:tc>
        <w:tc>
          <w:tcPr>
            <w:tcW w:w="1209" w:type="dxa"/>
            <w:vAlign w:val="top"/>
          </w:tcPr>
          <w:p>
            <w:pPr>
              <w:spacing w:line="340" w:lineRule="atLeast"/>
              <w:rPr>
                <w:rFonts w:ascii="宋体" w:cs="仿宋_GB2312" w:hAnsiTheme="minorHAnsi" w:eastAsiaTheme="minorEastAsia"/>
                <w:kern w:val="0"/>
                <w:sz w:val="21"/>
                <w:szCs w:val="21"/>
                <w:lang w:val="en-US" w:eastAsia="zh-CN" w:bidi="ar-SA"/>
              </w:rPr>
            </w:pPr>
            <w:r>
              <w:rPr>
                <w:rFonts w:ascii="宋体" w:cs="仿宋_GB2312"/>
                <w:kern w:val="0"/>
                <w:szCs w:val="21"/>
              </w:rPr>
              <w:t>15198286844</w:t>
            </w:r>
          </w:p>
        </w:tc>
        <w:tc>
          <w:tcPr>
            <w:tcW w:w="1212" w:type="dxa"/>
            <w:vAlign w:val="top"/>
          </w:tcPr>
          <w:p>
            <w:pPr>
              <w:spacing w:line="340" w:lineRule="atLeast"/>
              <w:rPr>
                <w:rFonts w:ascii="宋体" w:cs="仿宋_GB2312" w:hAnsiTheme="minorHAnsi" w:eastAsiaTheme="minorEastAsia"/>
                <w:kern w:val="0"/>
                <w:sz w:val="21"/>
                <w:szCs w:val="21"/>
                <w:lang w:val="en-US" w:eastAsia="zh-CN" w:bidi="ar-SA"/>
              </w:rPr>
            </w:pPr>
            <w:r>
              <w:rPr>
                <w:rFonts w:ascii="宋体" w:cs="仿宋_GB2312"/>
                <w:kern w:val="0"/>
                <w:szCs w:val="21"/>
              </w:rPr>
              <w:t>ryfish@163.com</w:t>
            </w:r>
          </w:p>
        </w:tc>
        <w:tc>
          <w:tcPr>
            <w:tcW w:w="1209"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课程讲授及实验指导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关统伟</w:t>
            </w:r>
          </w:p>
        </w:tc>
        <w:tc>
          <w:tcPr>
            <w:tcW w:w="1215"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食品与生物工程学院</w:t>
            </w:r>
          </w:p>
        </w:tc>
        <w:tc>
          <w:tcPr>
            <w:tcW w:w="729" w:type="dxa"/>
            <w:vAlign w:val="top"/>
          </w:tcPr>
          <w:p>
            <w:pPr>
              <w:spacing w:line="340" w:lineRule="atLeast"/>
              <w:rPr>
                <w:rFonts w:ascii="宋体" w:cs="仿宋_GB2312" w:hAnsiTheme="minorHAnsi" w:eastAsiaTheme="minorEastAsia"/>
                <w:kern w:val="0"/>
                <w:sz w:val="21"/>
                <w:szCs w:val="21"/>
                <w:lang w:val="en-US" w:eastAsia="zh-CN" w:bidi="ar-SA"/>
              </w:rPr>
            </w:pPr>
            <w:r>
              <w:rPr>
                <w:rFonts w:ascii="宋体" w:hAnsi="宋体" w:cs="仿宋_GB2312"/>
                <w:kern w:val="0"/>
                <w:szCs w:val="21"/>
              </w:rPr>
              <w:t>1978.02</w:t>
            </w:r>
          </w:p>
        </w:tc>
        <w:tc>
          <w:tcPr>
            <w:tcW w:w="734"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无</w:t>
            </w:r>
          </w:p>
        </w:tc>
        <w:tc>
          <w:tcPr>
            <w:tcW w:w="733" w:type="dxa"/>
            <w:vAlign w:val="top"/>
          </w:tcPr>
          <w:p>
            <w:pPr>
              <w:spacing w:line="340" w:lineRule="atLeast"/>
              <w:ind w:firstLine="105" w:firstLineChars="50"/>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副教授</w:t>
            </w:r>
          </w:p>
        </w:tc>
        <w:tc>
          <w:tcPr>
            <w:tcW w:w="1209" w:type="dxa"/>
            <w:vAlign w:val="top"/>
          </w:tcPr>
          <w:p>
            <w:pPr>
              <w:spacing w:line="340" w:lineRule="atLeast"/>
              <w:rPr>
                <w:rFonts w:ascii="宋体" w:cs="仿宋_GB2312" w:hAnsiTheme="minorHAnsi" w:eastAsiaTheme="minorEastAsia"/>
                <w:kern w:val="0"/>
                <w:sz w:val="21"/>
                <w:szCs w:val="21"/>
                <w:lang w:val="en-US" w:eastAsia="zh-CN" w:bidi="ar-SA"/>
              </w:rPr>
            </w:pPr>
            <w:r>
              <w:rPr>
                <w:rFonts w:ascii="宋体" w:hAnsi="宋体" w:cs="仿宋_GB2312"/>
                <w:kern w:val="0"/>
                <w:szCs w:val="21"/>
              </w:rPr>
              <w:t>18780155363</w:t>
            </w:r>
          </w:p>
        </w:tc>
        <w:tc>
          <w:tcPr>
            <w:tcW w:w="1212" w:type="dxa"/>
            <w:vAlign w:val="top"/>
          </w:tcPr>
          <w:p>
            <w:pPr>
              <w:spacing w:line="340" w:lineRule="atLeast"/>
              <w:rPr>
                <w:rFonts w:ascii="宋体" w:cs="仿宋_GB2312" w:hAnsiTheme="minorHAnsi" w:eastAsiaTheme="minorEastAsia"/>
                <w:kern w:val="0"/>
                <w:sz w:val="21"/>
                <w:szCs w:val="21"/>
                <w:lang w:val="en-US" w:eastAsia="zh-CN" w:bidi="ar-SA"/>
              </w:rPr>
            </w:pPr>
            <w:r>
              <w:rPr>
                <w:rFonts w:ascii="宋体" w:hAnsi="宋体" w:cs="仿宋_GB2312"/>
                <w:kern w:val="0"/>
                <w:szCs w:val="21"/>
              </w:rPr>
              <w:t>guantongweily@163.com</w:t>
            </w:r>
          </w:p>
        </w:tc>
        <w:tc>
          <w:tcPr>
            <w:tcW w:w="1209"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课程讲授及实验指导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李伟丽</w:t>
            </w:r>
          </w:p>
        </w:tc>
        <w:tc>
          <w:tcPr>
            <w:tcW w:w="1215"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食品与生物工程学院</w:t>
            </w:r>
          </w:p>
        </w:tc>
        <w:tc>
          <w:tcPr>
            <w:tcW w:w="729" w:type="dxa"/>
            <w:vAlign w:val="top"/>
          </w:tcPr>
          <w:p>
            <w:pPr>
              <w:spacing w:line="340" w:lineRule="atLeast"/>
              <w:rPr>
                <w:rFonts w:ascii="宋体" w:hAnsi="宋体" w:cs="仿宋_GB2312" w:eastAsiaTheme="minorEastAsia"/>
                <w:kern w:val="0"/>
                <w:sz w:val="21"/>
                <w:szCs w:val="21"/>
                <w:lang w:val="en-US" w:eastAsia="zh-CN" w:bidi="ar-SA"/>
              </w:rPr>
            </w:pPr>
            <w:r>
              <w:rPr>
                <w:rFonts w:ascii="宋体" w:hAnsi="宋体" w:cs="仿宋_GB2312"/>
                <w:kern w:val="0"/>
                <w:szCs w:val="21"/>
              </w:rPr>
              <w:t>1983</w:t>
            </w:r>
            <w:r>
              <w:rPr>
                <w:rFonts w:ascii="宋体" w:cs="仿宋_GB2312"/>
                <w:kern w:val="0"/>
                <w:szCs w:val="21"/>
              </w:rPr>
              <w:t>.</w:t>
            </w:r>
            <w:r>
              <w:rPr>
                <w:rFonts w:ascii="宋体" w:hAnsi="宋体" w:cs="仿宋_GB2312"/>
                <w:kern w:val="0"/>
                <w:szCs w:val="21"/>
              </w:rPr>
              <w:t>12</w:t>
            </w:r>
          </w:p>
        </w:tc>
        <w:tc>
          <w:tcPr>
            <w:tcW w:w="734"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无</w:t>
            </w:r>
          </w:p>
        </w:tc>
        <w:tc>
          <w:tcPr>
            <w:tcW w:w="733"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副教授</w:t>
            </w:r>
          </w:p>
        </w:tc>
        <w:tc>
          <w:tcPr>
            <w:tcW w:w="1209" w:type="dxa"/>
            <w:vAlign w:val="top"/>
          </w:tcPr>
          <w:p>
            <w:pPr>
              <w:spacing w:line="340" w:lineRule="atLeast"/>
              <w:rPr>
                <w:rFonts w:ascii="宋体" w:hAnsi="宋体" w:cs="仿宋_GB2312" w:eastAsiaTheme="minorEastAsia"/>
                <w:kern w:val="0"/>
                <w:sz w:val="21"/>
                <w:szCs w:val="21"/>
                <w:lang w:val="en-US" w:eastAsia="zh-CN" w:bidi="ar-SA"/>
              </w:rPr>
            </w:pPr>
            <w:r>
              <w:rPr>
                <w:rFonts w:ascii="宋体" w:hAnsi="宋体" w:cs="仿宋_GB2312"/>
                <w:kern w:val="0"/>
                <w:szCs w:val="21"/>
              </w:rPr>
              <w:t>15520818550</w:t>
            </w:r>
          </w:p>
        </w:tc>
        <w:tc>
          <w:tcPr>
            <w:tcW w:w="1212" w:type="dxa"/>
            <w:vAlign w:val="top"/>
          </w:tcPr>
          <w:p>
            <w:pPr>
              <w:spacing w:line="340" w:lineRule="atLeast"/>
              <w:rPr>
                <w:rFonts w:ascii="宋体" w:hAnsi="宋体" w:cs="仿宋_GB2312" w:eastAsiaTheme="minorEastAsia"/>
                <w:kern w:val="0"/>
                <w:sz w:val="21"/>
                <w:szCs w:val="21"/>
                <w:lang w:val="en-US" w:eastAsia="zh-CN" w:bidi="ar-SA"/>
              </w:rPr>
            </w:pPr>
            <w:r>
              <w:rPr>
                <w:rFonts w:ascii="宋体" w:hAnsi="宋体" w:cs="仿宋_GB2312"/>
                <w:kern w:val="0"/>
                <w:szCs w:val="21"/>
              </w:rPr>
              <w:t>12596577@qq.com</w:t>
            </w:r>
          </w:p>
        </w:tc>
        <w:tc>
          <w:tcPr>
            <w:tcW w:w="1209" w:type="dxa"/>
            <w:vAlign w:val="top"/>
          </w:tcPr>
          <w:p>
            <w:pPr>
              <w:spacing w:line="340" w:lineRule="atLeast"/>
              <w:rPr>
                <w:rFonts w:ascii="宋体" w:cs="仿宋_GB2312" w:hAnsiTheme="minorHAnsi" w:eastAsiaTheme="minorEastAsia"/>
                <w:kern w:val="0"/>
                <w:sz w:val="21"/>
                <w:szCs w:val="21"/>
                <w:lang w:val="en-US" w:eastAsia="zh-CN" w:bidi="ar-SA"/>
              </w:rPr>
            </w:pPr>
            <w:r>
              <w:rPr>
                <w:rFonts w:hint="eastAsia" w:ascii="宋体" w:hAnsi="宋体" w:cs="仿宋_GB2312"/>
                <w:kern w:val="0"/>
                <w:szCs w:val="21"/>
              </w:rPr>
              <w:t>课程讲授及实验指导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60" w:lineRule="auto"/>
              <w:ind w:firstLine="420" w:firstLineChars="200"/>
              <w:rPr>
                <w:rFonts w:ascii="楷体" w:hAnsi="楷体" w:eastAsia="楷体" w:cs="楷体"/>
                <w:kern w:val="0"/>
                <w:sz w:val="24"/>
                <w:szCs w:val="24"/>
              </w:rPr>
            </w:pPr>
            <w:r>
              <w:rPr>
                <w:rFonts w:hint="eastAsia" w:ascii="宋体" w:hAnsi="宋体" w:cs="仿宋_GB2312"/>
                <w:kern w:val="0"/>
                <w:szCs w:val="21"/>
              </w:rPr>
              <w:t>近五年承担讲授基础必修课《微生物学》、专业必修课《食品营养学》、公共选修课《营养与安全课程》，累积授课学时</w:t>
            </w:r>
            <w:r>
              <w:rPr>
                <w:rFonts w:ascii="宋体" w:hAnsi="宋体" w:cs="仿宋_GB2312"/>
                <w:kern w:val="0"/>
                <w:szCs w:val="21"/>
              </w:rPr>
              <w:t>520</w:t>
            </w:r>
            <w:r>
              <w:rPr>
                <w:rFonts w:hint="eastAsia" w:ascii="宋体" w:hAnsi="宋体" w:cs="仿宋_GB2312"/>
                <w:kern w:val="0"/>
                <w:szCs w:val="21"/>
              </w:rPr>
              <w:t>学时，学生人数</w:t>
            </w:r>
            <w:r>
              <w:rPr>
                <w:rFonts w:ascii="宋体" w:hAnsi="宋体" w:cs="仿宋_GB2312"/>
                <w:kern w:val="0"/>
                <w:szCs w:val="21"/>
              </w:rPr>
              <w:t>1625</w:t>
            </w:r>
            <w:r>
              <w:rPr>
                <w:rFonts w:hint="eastAsia" w:ascii="宋体" w:hAnsi="宋体" w:cs="仿宋_GB2312"/>
                <w:kern w:val="0"/>
                <w:szCs w:val="21"/>
              </w:rPr>
              <w:t>。毕业实习与毕业设计</w:t>
            </w:r>
            <w:r>
              <w:rPr>
                <w:rFonts w:ascii="宋体" w:hAnsi="宋体" w:cs="仿宋_GB2312"/>
                <w:kern w:val="0"/>
                <w:szCs w:val="21"/>
              </w:rPr>
              <w:t>80</w:t>
            </w:r>
            <w:r>
              <w:rPr>
                <w:rFonts w:hint="eastAsia" w:ascii="宋体" w:hAnsi="宋体" w:cs="仿宋_GB2312"/>
                <w:kern w:val="0"/>
                <w:szCs w:val="21"/>
              </w:rPr>
              <w:t>学时，学生</w:t>
            </w:r>
            <w:r>
              <w:rPr>
                <w:rFonts w:ascii="宋体" w:hAnsi="宋体" w:cs="仿宋_GB2312"/>
                <w:kern w:val="0"/>
                <w:szCs w:val="21"/>
              </w:rPr>
              <w:t>38</w:t>
            </w:r>
            <w:r>
              <w:rPr>
                <w:rFonts w:hint="eastAsia" w:ascii="宋体" w:hAnsi="宋体" w:cs="仿宋_GB2312"/>
                <w:kern w:val="0"/>
                <w:szCs w:val="21"/>
              </w:rPr>
              <w:t>人。认识实习与生产实习</w:t>
            </w:r>
            <w:r>
              <w:rPr>
                <w:rFonts w:ascii="宋体" w:hAnsi="宋体" w:cs="仿宋_GB2312"/>
                <w:kern w:val="0"/>
                <w:szCs w:val="21"/>
              </w:rPr>
              <w:t>40</w:t>
            </w:r>
            <w:r>
              <w:rPr>
                <w:rFonts w:hint="eastAsia" w:ascii="宋体" w:hAnsi="宋体" w:cs="仿宋_GB2312"/>
                <w:kern w:val="0"/>
                <w:szCs w:val="21"/>
              </w:rPr>
              <w:t>人，</w:t>
            </w:r>
            <w:r>
              <w:rPr>
                <w:rFonts w:ascii="宋体" w:hAnsi="宋体" w:cs="仿宋_GB2312"/>
                <w:kern w:val="0"/>
                <w:szCs w:val="21"/>
              </w:rPr>
              <w:t>80</w:t>
            </w:r>
            <w:r>
              <w:rPr>
                <w:rFonts w:hint="eastAsia" w:ascii="宋体" w:hAnsi="宋体" w:cs="仿宋_GB2312"/>
                <w:kern w:val="0"/>
                <w:szCs w:val="21"/>
              </w:rPr>
              <w:t>学时。作为项目负责人，在建</w:t>
            </w:r>
            <w:r>
              <w:rPr>
                <w:rFonts w:hint="eastAsia" w:ascii="宋体" w:hAnsi="宋体" w:cs="仿宋_GB2312"/>
                <w:kern w:val="0"/>
                <w:szCs w:val="21"/>
                <w:lang w:eastAsia="zh-CN"/>
              </w:rPr>
              <w:t>四川省级一流课程《微生物学》、</w:t>
            </w:r>
            <w:r>
              <w:rPr>
                <w:rFonts w:hint="eastAsia" w:ascii="宋体" w:hAnsi="宋体"/>
                <w:szCs w:val="21"/>
              </w:rPr>
              <w:t>西华大学《生物工程原理》精品课程</w:t>
            </w:r>
            <w:r>
              <w:rPr>
                <w:rFonts w:ascii="宋体" w:hAnsi="宋体"/>
                <w:szCs w:val="21"/>
              </w:rPr>
              <w:t xml:space="preserve"> </w:t>
            </w:r>
            <w:r>
              <w:rPr>
                <w:rFonts w:hint="eastAsia" w:ascii="宋体" w:hAnsi="宋体"/>
                <w:szCs w:val="21"/>
              </w:rPr>
              <w:t>、《食品营养与安全》课程教学改革，西华大学通识课程《饮食文明与健康》</w:t>
            </w:r>
            <w:r>
              <w:rPr>
                <w:rFonts w:hint="eastAsia" w:ascii="宋体" w:hAnsi="宋体"/>
                <w:szCs w:val="21"/>
                <w:lang w:eastAsia="zh-CN"/>
              </w:rPr>
              <w:t>、</w:t>
            </w:r>
            <w:r>
              <w:rPr>
                <w:rFonts w:hint="eastAsia" w:ascii="宋体" w:hAnsi="宋体"/>
                <w:szCs w:val="21"/>
              </w:rPr>
              <w:t>参与省级精品课程《微生物学》的建设。</w:t>
            </w: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60" w:lineRule="auto"/>
              <w:ind w:firstLine="420" w:firstLineChars="200"/>
              <w:rPr>
                <w:rFonts w:hint="eastAsia" w:ascii="宋体" w:hAnsi="宋体"/>
                <w:szCs w:val="21"/>
              </w:rPr>
            </w:pPr>
            <w:r>
              <w:rPr>
                <w:rFonts w:hint="eastAsia" w:ascii="宋体" w:hAnsi="宋体"/>
                <w:szCs w:val="21"/>
              </w:rPr>
              <w:t>本课程为食品科学与工程、食品质量与安全、生物工程、环境工程、制药工程专业本科教学的核心专业基础课。通过各个教学环节训练，需要达到知识、能力和情感三方面的目标。使学生具备扎实的微生物基础理论，初步具有复杂工程问题的认识、分析表达能力、品控分析管理、创新产品开发思维和简单的实验方案设计能力，通过案例教学培养学生分析解决实际问题的能力。每学年接受本课程教学的学生约</w:t>
            </w:r>
            <w:r>
              <w:rPr>
                <w:rFonts w:ascii="宋体" w:hAnsi="宋体"/>
                <w:szCs w:val="21"/>
              </w:rPr>
              <w:t>500</w:t>
            </w:r>
            <w:r>
              <w:rPr>
                <w:rFonts w:hint="eastAsia" w:ascii="宋体" w:hAnsi="宋体"/>
                <w:szCs w:val="21"/>
              </w:rPr>
              <w:t>人，培养目标为四川省以及西部地区食品、发酵、制药、环境等企业、质量检测机构、职业院校培养输送满足岗位需求，有较强的综合应用能力为主的技术型、学术型综合人才。</w:t>
            </w:r>
          </w:p>
          <w:p>
            <w:pPr>
              <w:spacing w:line="360" w:lineRule="auto"/>
              <w:ind w:firstLine="420" w:firstLineChars="200"/>
              <w:rPr>
                <w:rFonts w:hint="eastAsia" w:ascii="宋体" w:hAnsi="宋体"/>
                <w:szCs w:val="21"/>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60" w:lineRule="auto"/>
              <w:rPr>
                <w:rFonts w:ascii="黑体" w:hAnsi="黑体" w:eastAsia="黑体" w:cs="仿宋_GB2312"/>
                <w:b/>
                <w:bCs/>
                <w:kern w:val="0"/>
                <w:szCs w:val="21"/>
              </w:rPr>
            </w:pPr>
            <w:r>
              <w:rPr>
                <w:rFonts w:hint="eastAsia" w:ascii="黑体" w:hAnsi="黑体" w:eastAsia="黑体" w:cs="仿宋_GB2312"/>
                <w:b/>
                <w:bCs/>
                <w:kern w:val="0"/>
                <w:szCs w:val="21"/>
              </w:rPr>
              <w:t>本课程的建设发展历程：</w:t>
            </w:r>
          </w:p>
          <w:p>
            <w:pPr>
              <w:spacing w:line="360" w:lineRule="auto"/>
              <w:ind w:firstLine="210" w:firstLineChars="100"/>
              <w:rPr>
                <w:rFonts w:hint="eastAsia" w:ascii="MicrosoftYaHei" w:hAnsi="Times New Roman" w:eastAsia="MicrosoftYaHei" w:cs="MicrosoftYaHei"/>
                <w:kern w:val="0"/>
                <w:szCs w:val="21"/>
                <w:lang w:bidi="th-TH"/>
              </w:rPr>
            </w:pPr>
            <w:r>
              <w:rPr>
                <w:rFonts w:hint="eastAsia" w:ascii="宋体"/>
                <w:bCs/>
                <w:szCs w:val="21"/>
              </w:rPr>
              <w:t>本门课程从</w:t>
            </w:r>
            <w:r>
              <w:rPr>
                <w:rFonts w:ascii="宋体"/>
                <w:bCs/>
                <w:szCs w:val="21"/>
              </w:rPr>
              <w:t>2002</w:t>
            </w:r>
            <w:r>
              <w:rPr>
                <w:rFonts w:hint="eastAsia" w:ascii="宋体"/>
                <w:bCs/>
                <w:szCs w:val="21"/>
              </w:rPr>
              <w:t>年确定为校级教改课程到双语课程的建设、</w:t>
            </w:r>
            <w:r>
              <w:rPr>
                <w:rFonts w:ascii="宋体"/>
                <w:bCs/>
                <w:szCs w:val="21"/>
              </w:rPr>
              <w:t>2005</w:t>
            </w:r>
            <w:r>
              <w:rPr>
                <w:rFonts w:hint="eastAsia" w:ascii="宋体"/>
                <w:bCs/>
                <w:szCs w:val="21"/>
              </w:rPr>
              <w:t>年四川省精品课程的建立，已经持续建设了</w:t>
            </w:r>
            <w:r>
              <w:rPr>
                <w:rFonts w:ascii="宋体"/>
                <w:bCs/>
                <w:szCs w:val="21"/>
              </w:rPr>
              <w:t>17</w:t>
            </w:r>
            <w:r>
              <w:rPr>
                <w:rFonts w:hint="eastAsia" w:ascii="宋体"/>
                <w:bCs/>
                <w:szCs w:val="21"/>
              </w:rPr>
              <w:t>年，</w:t>
            </w:r>
            <w:r>
              <w:rPr>
                <w:rFonts w:hint="eastAsia" w:ascii="宋体"/>
                <w:bCs/>
                <w:szCs w:val="21"/>
                <w:lang w:val="en-US" w:eastAsia="zh-CN"/>
              </w:rPr>
              <w:t>2020年确定为四川省一流课程，</w:t>
            </w:r>
            <w:r>
              <w:rPr>
                <w:rFonts w:hint="eastAsia" w:ascii="宋体"/>
                <w:bCs/>
                <w:szCs w:val="21"/>
              </w:rPr>
              <w:t>在这个过程中</w:t>
            </w:r>
            <w:r>
              <w:rPr>
                <w:rFonts w:hint="eastAsia" w:ascii="MicrosoftYaHei-Bold" w:hAnsi="Times New Roman" w:eastAsia="MicrosoftYaHei-Bold" w:cs="MicrosoftYaHei-Bold"/>
                <w:kern w:val="0"/>
                <w:szCs w:val="21"/>
                <w:lang w:bidi="th-TH"/>
              </w:rPr>
              <w:t>一直不断地在优化重构教学内容与课程体</w:t>
            </w:r>
            <w:r>
              <w:rPr>
                <w:rFonts w:hint="eastAsia" w:ascii="MicrosoftYaHei" w:hAnsi="Times New Roman" w:eastAsia="MicrosoftYaHei" w:cs="MicrosoftYaHei"/>
                <w:kern w:val="0"/>
                <w:szCs w:val="21"/>
                <w:lang w:bidi="th-TH"/>
              </w:rPr>
              <w:t>系</w:t>
            </w:r>
            <w:r>
              <w:rPr>
                <w:rFonts w:hint="eastAsia" w:ascii="MicrosoftYaHei" w:hAnsi="Times New Roman" w:eastAsia="MicrosoftYaHei" w:cs="MicrosoftYaHei"/>
                <w:kern w:val="0"/>
                <w:szCs w:val="21"/>
                <w:lang w:eastAsia="zh-CN" w:bidi="th-TH"/>
              </w:rPr>
              <w:t>，与时俱进改变教学手段和教学方法</w:t>
            </w:r>
            <w:r>
              <w:rPr>
                <w:rFonts w:hint="eastAsia" w:ascii="MicrosoftYaHei" w:hAnsi="Times New Roman" w:eastAsia="MicrosoftYaHei" w:cs="MicrosoftYaHei"/>
                <w:kern w:val="0"/>
                <w:szCs w:val="21"/>
                <w:lang w:bidi="th-TH"/>
              </w:rPr>
              <w:t>。</w:t>
            </w:r>
          </w:p>
          <w:p>
            <w:pPr>
              <w:autoSpaceDE w:val="0"/>
              <w:autoSpaceDN w:val="0"/>
              <w:adjustRightInd w:val="0"/>
              <w:spacing w:line="360" w:lineRule="auto"/>
              <w:jc w:val="left"/>
              <w:rPr>
                <w:rFonts w:ascii="黑体" w:hAnsi="黑体" w:eastAsia="黑体" w:cs="仿宋_GB2312"/>
                <w:b/>
                <w:bCs/>
                <w:kern w:val="0"/>
                <w:szCs w:val="21"/>
              </w:rPr>
            </w:pPr>
            <w:r>
              <w:rPr>
                <w:rFonts w:hint="eastAsia" w:ascii="黑体" w:hAnsi="黑体" w:eastAsia="黑体" w:cs="仿宋_GB2312"/>
                <w:b/>
                <w:bCs/>
                <w:kern w:val="0"/>
                <w:szCs w:val="21"/>
              </w:rPr>
              <w:t>课程与教学改革要解决的重点问题</w:t>
            </w:r>
            <w:r>
              <w:rPr>
                <w:rFonts w:ascii="黑体" w:hAnsi="黑体" w:eastAsia="黑体" w:cs="仿宋_GB2312"/>
                <w:b/>
                <w:bCs/>
                <w:kern w:val="0"/>
                <w:szCs w:val="21"/>
              </w:rPr>
              <w:t>;</w:t>
            </w:r>
          </w:p>
          <w:p>
            <w:pPr>
              <w:autoSpaceDE w:val="0"/>
              <w:autoSpaceDN w:val="0"/>
              <w:adjustRightInd w:val="0"/>
              <w:spacing w:line="360" w:lineRule="auto"/>
              <w:ind w:firstLine="431"/>
              <w:jc w:val="left"/>
              <w:rPr>
                <w:rFonts w:hint="eastAsia" w:ascii="宋体" w:cs="仿宋_GB2312" w:eastAsiaTheme="minorEastAsia"/>
                <w:kern w:val="0"/>
                <w:szCs w:val="21"/>
                <w:lang w:eastAsia="zh-CN"/>
              </w:rPr>
            </w:pPr>
            <w:r>
              <w:rPr>
                <w:rFonts w:ascii="宋体" w:hAnsi="宋体" w:cs="仿宋_GB2312"/>
                <w:kern w:val="0"/>
                <w:szCs w:val="21"/>
              </w:rPr>
              <w:t>1.</w:t>
            </w:r>
            <w:r>
              <w:rPr>
                <w:rFonts w:hint="eastAsia" w:ascii="宋体" w:hAnsi="宋体" w:cs="仿宋_GB2312"/>
                <w:kern w:val="0"/>
                <w:szCs w:val="21"/>
              </w:rPr>
              <w:t>如何打破课堂沉默，让学生积极参与到课堂教学中来</w:t>
            </w:r>
            <w:r>
              <w:rPr>
                <w:rFonts w:hint="eastAsia" w:ascii="宋体" w:hAnsi="宋体" w:cs="仿宋_GB2312"/>
                <w:kern w:val="0"/>
                <w:szCs w:val="21"/>
                <w:lang w:eastAsia="zh-CN"/>
              </w:rPr>
              <w:t>。</w:t>
            </w:r>
          </w:p>
          <w:p>
            <w:pPr>
              <w:autoSpaceDE w:val="0"/>
              <w:autoSpaceDN w:val="0"/>
              <w:adjustRightInd w:val="0"/>
              <w:spacing w:line="360" w:lineRule="auto"/>
              <w:ind w:firstLine="431"/>
              <w:jc w:val="left"/>
              <w:rPr>
                <w:rFonts w:hint="eastAsia" w:ascii="宋体" w:cs="MicrosoftYaHei-Bold" w:eastAsiaTheme="minorEastAsia"/>
                <w:kern w:val="0"/>
                <w:szCs w:val="21"/>
                <w:lang w:eastAsia="zh-CN" w:bidi="th-TH"/>
              </w:rPr>
            </w:pPr>
            <w:r>
              <w:rPr>
                <w:rFonts w:ascii="宋体" w:hAnsi="宋体" w:cs="仿宋_GB2312"/>
                <w:kern w:val="0"/>
                <w:szCs w:val="21"/>
              </w:rPr>
              <w:t>2.</w:t>
            </w:r>
            <w:r>
              <w:rPr>
                <w:rFonts w:hint="eastAsia" w:ascii="宋体" w:hAnsi="宋体" w:cs="MicrosoftYaHei-Bold"/>
                <w:kern w:val="0"/>
                <w:szCs w:val="21"/>
                <w:lang w:bidi="th-TH"/>
              </w:rPr>
              <w:t>如何提升课程内容的的广度和深度，突破已有的认知模式，培养学生解决复杂问题的综合能力，培养学生大胆质疑，勇于创新的精神和能力</w:t>
            </w:r>
            <w:r>
              <w:rPr>
                <w:rFonts w:hint="eastAsia" w:ascii="宋体" w:hAnsi="宋体" w:cs="MicrosoftYaHei-Bold"/>
                <w:kern w:val="0"/>
                <w:szCs w:val="21"/>
                <w:lang w:eastAsia="zh-CN" w:bidi="th-TH"/>
              </w:rPr>
              <w:t>。</w:t>
            </w:r>
          </w:p>
          <w:p>
            <w:pPr>
              <w:autoSpaceDE w:val="0"/>
              <w:autoSpaceDN w:val="0"/>
              <w:adjustRightInd w:val="0"/>
              <w:spacing w:line="360" w:lineRule="auto"/>
              <w:ind w:firstLine="431"/>
              <w:jc w:val="left"/>
              <w:rPr>
                <w:rFonts w:ascii="宋体" w:cs="MicrosoftYaHei"/>
                <w:kern w:val="0"/>
                <w:szCs w:val="21"/>
                <w:lang w:bidi="th-TH"/>
              </w:rPr>
            </w:pPr>
            <w:r>
              <w:rPr>
                <w:rFonts w:ascii="宋体" w:hAnsi="宋体" w:cs="MicrosoftYaHei-Bold"/>
                <w:kern w:val="0"/>
                <w:szCs w:val="21"/>
                <w:lang w:bidi="th-TH"/>
              </w:rPr>
              <w:t>3.</w:t>
            </w:r>
            <w:r>
              <w:rPr>
                <w:rFonts w:hint="eastAsia" w:ascii="宋体" w:hAnsi="宋体" w:cs="MicrosoftYaHei-Bold"/>
                <w:kern w:val="0"/>
                <w:szCs w:val="21"/>
                <w:lang w:bidi="th-TH"/>
              </w:rPr>
              <w:t>如何</w:t>
            </w:r>
            <w:r>
              <w:rPr>
                <w:rFonts w:hint="eastAsia" w:ascii="宋体" w:hAnsi="宋体" w:cs="MicrosoftYaHei"/>
                <w:kern w:val="0"/>
                <w:szCs w:val="21"/>
                <w:lang w:bidi="th-TH"/>
              </w:rPr>
              <w:t>将现代信息技术与教学深度融合，积极引导学生进行探究式与个性化学习。</w:t>
            </w:r>
          </w:p>
          <w:p>
            <w:pPr>
              <w:autoSpaceDE w:val="0"/>
              <w:autoSpaceDN w:val="0"/>
              <w:adjustRightInd w:val="0"/>
              <w:spacing w:line="360" w:lineRule="auto"/>
              <w:ind w:firstLine="431"/>
              <w:jc w:val="left"/>
              <w:rPr>
                <w:rFonts w:hint="eastAsia" w:ascii="宋体" w:cs="仿宋_GB2312" w:eastAsiaTheme="minorEastAsia"/>
                <w:kern w:val="0"/>
                <w:szCs w:val="21"/>
                <w:lang w:eastAsia="zh-CN"/>
              </w:rPr>
            </w:pPr>
            <w:r>
              <w:rPr>
                <w:rFonts w:ascii="宋体" w:hAnsi="宋体" w:cs="MicrosoftYaHei"/>
                <w:kern w:val="0"/>
                <w:szCs w:val="21"/>
                <w:lang w:bidi="th-TH"/>
              </w:rPr>
              <w:t>4.</w:t>
            </w:r>
            <w:r>
              <w:rPr>
                <w:rFonts w:hint="eastAsia" w:ascii="宋体" w:hAnsi="宋体" w:cs="MicrosoftYaHei"/>
                <w:kern w:val="0"/>
                <w:szCs w:val="21"/>
                <w:lang w:bidi="th-TH"/>
              </w:rPr>
              <w:t>采用何种方式，增加</w:t>
            </w:r>
            <w:r>
              <w:rPr>
                <w:rFonts w:hint="eastAsia" w:ascii="宋体" w:hAnsi="宋体" w:cs="MicrosoftYaHei-Bold"/>
                <w:kern w:val="0"/>
                <w:szCs w:val="21"/>
                <w:lang w:bidi="th-TH"/>
              </w:rPr>
              <w:t>大学生学习投入，</w:t>
            </w:r>
            <w:r>
              <w:rPr>
                <w:rFonts w:hint="eastAsia" w:ascii="宋体" w:hAnsi="宋体" w:cs="MicrosoftYaHei"/>
                <w:kern w:val="0"/>
                <w:szCs w:val="21"/>
                <w:lang w:bidi="th-TH"/>
              </w:rPr>
              <w:t>增强学生经过刻苦学习收获能力和素质提高的成就感</w:t>
            </w:r>
            <w:r>
              <w:rPr>
                <w:rFonts w:hint="eastAsia" w:ascii="宋体" w:hAnsi="宋体" w:cs="MicrosoftYaHei"/>
                <w:kern w:val="0"/>
                <w:szCs w:val="21"/>
                <w:lang w:eastAsia="zh-CN" w:bidi="th-TH"/>
              </w:rPr>
              <w:t>。</w:t>
            </w:r>
          </w:p>
          <w:p>
            <w:pPr>
              <w:autoSpaceDE w:val="0"/>
              <w:autoSpaceDN w:val="0"/>
              <w:adjustRightInd w:val="0"/>
              <w:spacing w:line="360" w:lineRule="auto"/>
              <w:jc w:val="left"/>
              <w:rPr>
                <w:rFonts w:ascii="黑体" w:hAnsi="黑体" w:eastAsia="黑体" w:cs="仿宋_GB2312"/>
                <w:b/>
                <w:bCs/>
                <w:kern w:val="0"/>
                <w:szCs w:val="21"/>
              </w:rPr>
            </w:pPr>
            <w:r>
              <w:rPr>
                <w:rFonts w:hint="eastAsia" w:ascii="黑体" w:hAnsi="黑体" w:eastAsia="黑体" w:cs="仿宋_GB2312"/>
                <w:b/>
                <w:bCs/>
                <w:kern w:val="0"/>
                <w:szCs w:val="21"/>
              </w:rPr>
              <w:t>课程内容与资源建设及应用情况</w:t>
            </w:r>
          </w:p>
          <w:p>
            <w:pPr>
              <w:autoSpaceDE w:val="0"/>
              <w:autoSpaceDN w:val="0"/>
              <w:adjustRightInd w:val="0"/>
              <w:spacing w:line="360" w:lineRule="auto"/>
              <w:ind w:firstLine="525" w:firstLineChars="250"/>
              <w:jc w:val="left"/>
              <w:rPr>
                <w:szCs w:val="21"/>
              </w:rPr>
            </w:pPr>
            <w:r>
              <w:rPr>
                <w:rFonts w:hint="eastAsia"/>
                <w:szCs w:val="21"/>
              </w:rPr>
              <w:t>课程团队通过长期教学经验，</w:t>
            </w:r>
            <w:r>
              <w:rPr>
                <w:rFonts w:hint="eastAsia" w:ascii="宋体" w:hAnsi="宋体"/>
                <w:bCs/>
                <w:szCs w:val="21"/>
              </w:rPr>
              <w:t>主持编写《微生物学》和配套《微生物学实验》教材，总结教学经验，发表多篇教改论文。</w:t>
            </w:r>
            <w:r>
              <w:rPr>
                <w:rFonts w:hint="eastAsia" w:ascii="宋体" w:hAnsi="宋体"/>
                <w:szCs w:val="21"/>
              </w:rPr>
              <w:t>建成</w:t>
            </w:r>
            <w:r>
              <w:rPr>
                <w:rFonts w:hint="eastAsia" w:ascii="宋体" w:hAnsi="宋体"/>
                <w:bCs/>
                <w:szCs w:val="21"/>
              </w:rPr>
              <w:t>中英文两套课件、</w:t>
            </w:r>
            <w:r>
              <w:rPr>
                <w:rFonts w:hint="eastAsia"/>
                <w:szCs w:val="21"/>
              </w:rPr>
              <w:t>课程试题库、习题库、</w:t>
            </w:r>
            <w:r>
              <w:rPr>
                <w:rFonts w:hint="eastAsia" w:ascii="宋体" w:hAnsi="宋体"/>
                <w:bCs/>
                <w:szCs w:val="21"/>
              </w:rPr>
              <w:t>大容量图片库和动画库，录制讲课视频，并实现学校网上下载。</w:t>
            </w:r>
            <w:r>
              <w:rPr>
                <w:rFonts w:hint="eastAsia"/>
                <w:szCs w:val="21"/>
              </w:rPr>
              <w:t>打造微生物学教学团队，目前已形成</w:t>
            </w:r>
            <w:r>
              <w:rPr>
                <w:rFonts w:hint="eastAsia"/>
                <w:szCs w:val="21"/>
                <w:lang w:val="en-US" w:eastAsia="zh-CN"/>
              </w:rPr>
              <w:t>由国家级教学名师（车振明），西华大学讲课比赛获得者（焦士蓉、饶瑜），</w:t>
            </w:r>
            <w:r>
              <w:rPr>
                <w:rFonts w:hint="eastAsia"/>
                <w:szCs w:val="21"/>
              </w:rPr>
              <w:t>由教授</w:t>
            </w:r>
            <w:r>
              <w:rPr>
                <w:rFonts w:hint="eastAsia"/>
                <w:szCs w:val="21"/>
                <w:lang w:val="en-US" w:eastAsia="zh-CN"/>
              </w:rPr>
              <w:t>5</w:t>
            </w:r>
            <w:r>
              <w:rPr>
                <w:rFonts w:hint="eastAsia"/>
                <w:szCs w:val="21"/>
              </w:rPr>
              <w:t>人、副教授</w:t>
            </w:r>
            <w:r>
              <w:rPr>
                <w:rFonts w:hint="eastAsia"/>
                <w:szCs w:val="21"/>
                <w:lang w:val="en-US" w:eastAsia="zh-CN"/>
              </w:rPr>
              <w:t>2</w:t>
            </w:r>
            <w:r>
              <w:rPr>
                <w:rFonts w:hint="eastAsia"/>
                <w:szCs w:val="21"/>
              </w:rPr>
              <w:t>人，讲师</w:t>
            </w:r>
            <w:r>
              <w:rPr>
                <w:rFonts w:hint="eastAsia"/>
                <w:szCs w:val="21"/>
                <w:lang w:val="en-US" w:eastAsia="zh-CN"/>
              </w:rPr>
              <w:t>2</w:t>
            </w:r>
            <w:r>
              <w:rPr>
                <w:rFonts w:hint="eastAsia"/>
                <w:szCs w:val="21"/>
              </w:rPr>
              <w:t>人，以年轻博士为主体的结构合理的教学团队。</w:t>
            </w:r>
          </w:p>
          <w:p>
            <w:pPr>
              <w:autoSpaceDE w:val="0"/>
              <w:autoSpaceDN w:val="0"/>
              <w:adjustRightInd w:val="0"/>
              <w:spacing w:line="360" w:lineRule="auto"/>
              <w:jc w:val="left"/>
              <w:rPr>
                <w:rFonts w:ascii="黑体" w:hAnsi="黑体" w:eastAsia="黑体" w:cs="仿宋_GB2312"/>
                <w:b/>
                <w:bCs/>
                <w:kern w:val="0"/>
                <w:szCs w:val="21"/>
              </w:rPr>
            </w:pPr>
            <w:r>
              <w:rPr>
                <w:rFonts w:hint="eastAsia" w:ascii="黑体" w:hAnsi="黑体" w:eastAsia="黑体" w:cs="仿宋_GB2312"/>
                <w:b/>
                <w:bCs/>
                <w:kern w:val="0"/>
                <w:szCs w:val="21"/>
              </w:rPr>
              <w:t>课程教学内容及组织实施情况</w:t>
            </w:r>
          </w:p>
          <w:p>
            <w:pPr>
              <w:autoSpaceDE w:val="0"/>
              <w:autoSpaceDN w:val="0"/>
              <w:adjustRightInd w:val="0"/>
              <w:spacing w:line="360" w:lineRule="auto"/>
              <w:ind w:firstLine="525" w:firstLineChars="250"/>
              <w:jc w:val="left"/>
              <w:rPr>
                <w:szCs w:val="21"/>
              </w:rPr>
            </w:pPr>
            <w:r>
              <w:rPr>
                <w:rFonts w:hint="eastAsia"/>
                <w:szCs w:val="21"/>
              </w:rPr>
              <w:t>针对需要解决的重点难点问题，有以下解决方法：</w:t>
            </w:r>
          </w:p>
          <w:p>
            <w:pPr>
              <w:numPr>
                <w:ilvl w:val="0"/>
                <w:numId w:val="1"/>
              </w:numPr>
              <w:tabs>
                <w:tab w:val="left" w:pos="540"/>
                <w:tab w:val="clear" w:pos="1329"/>
              </w:tabs>
              <w:autoSpaceDE w:val="0"/>
              <w:autoSpaceDN w:val="0"/>
              <w:adjustRightInd w:val="0"/>
              <w:spacing w:line="360" w:lineRule="auto"/>
              <w:ind w:left="540"/>
              <w:jc w:val="left"/>
              <w:rPr>
                <w:szCs w:val="21"/>
              </w:rPr>
            </w:pPr>
            <w:r>
              <w:rPr>
                <w:szCs w:val="21"/>
              </w:rPr>
              <w:t xml:space="preserve">1. </w:t>
            </w:r>
            <w:r>
              <w:rPr>
                <w:rFonts w:hint="eastAsia"/>
                <w:szCs w:val="21"/>
              </w:rPr>
              <w:t>采用参与式教学方法，进行课堂小测验、实际案例分析、分组讨论等形式，让每一</w:t>
            </w:r>
          </w:p>
          <w:p>
            <w:pPr>
              <w:numPr>
                <w:ilvl w:val="0"/>
                <w:numId w:val="1"/>
              </w:numPr>
              <w:tabs>
                <w:tab w:val="left" w:pos="540"/>
                <w:tab w:val="clear" w:pos="1329"/>
              </w:tabs>
              <w:autoSpaceDE w:val="0"/>
              <w:autoSpaceDN w:val="0"/>
              <w:adjustRightInd w:val="0"/>
              <w:spacing w:line="360" w:lineRule="auto"/>
              <w:ind w:left="540"/>
              <w:jc w:val="left"/>
              <w:rPr>
                <w:szCs w:val="21"/>
              </w:rPr>
            </w:pPr>
            <w:r>
              <w:rPr>
                <w:rFonts w:hint="eastAsia"/>
                <w:szCs w:val="21"/>
              </w:rPr>
              <w:t>个同学参与其中，在有效的的课堂时间发挥最大的学习效率。</w:t>
            </w:r>
          </w:p>
          <w:p>
            <w:pPr>
              <w:numPr>
                <w:ilvl w:val="0"/>
                <w:numId w:val="1"/>
              </w:numPr>
              <w:tabs>
                <w:tab w:val="left" w:pos="540"/>
                <w:tab w:val="clear" w:pos="1329"/>
              </w:tabs>
              <w:autoSpaceDE w:val="0"/>
              <w:autoSpaceDN w:val="0"/>
              <w:adjustRightInd w:val="0"/>
              <w:spacing w:line="360" w:lineRule="auto"/>
              <w:ind w:left="540"/>
              <w:jc w:val="left"/>
              <w:rPr>
                <w:szCs w:val="21"/>
              </w:rPr>
            </w:pPr>
            <w:r>
              <w:rPr>
                <w:rFonts w:ascii="宋体" w:hAnsi="宋体" w:cs="MicrosoftYaHei-Bold"/>
                <w:kern w:val="0"/>
                <w:szCs w:val="21"/>
                <w:lang w:bidi="th-TH"/>
              </w:rPr>
              <w:t xml:space="preserve">2. </w:t>
            </w:r>
            <w:r>
              <w:rPr>
                <w:rFonts w:hint="eastAsia" w:ascii="宋体" w:hAnsi="宋体" w:cs="MicrosoftYaHei-Bold"/>
                <w:kern w:val="0"/>
                <w:szCs w:val="21"/>
                <w:lang w:bidi="th-TH"/>
              </w:rPr>
              <w:t>依托国际国内</w:t>
            </w:r>
            <w:r>
              <w:rPr>
                <w:rFonts w:hint="eastAsia" w:ascii="宋体" w:hAnsi="宋体" w:cs="MicrosoftYaHei"/>
                <w:kern w:val="0"/>
                <w:szCs w:val="21"/>
                <w:lang w:bidi="th-TH"/>
              </w:rPr>
              <w:t>学术研究及</w:t>
            </w:r>
            <w:r>
              <w:rPr>
                <w:rFonts w:hint="eastAsia" w:ascii="宋体" w:hAnsi="宋体" w:cs="MicrosoftYaHei-Bold"/>
                <w:kern w:val="0"/>
                <w:szCs w:val="21"/>
                <w:lang w:bidi="th-TH"/>
              </w:rPr>
              <w:t>会议交流，国际顶级杂志及</w:t>
            </w:r>
            <w:r>
              <w:rPr>
                <w:rFonts w:hint="eastAsia" w:ascii="宋体" w:hAnsi="宋体" w:cs="MicrosoftYaHei-Bold"/>
                <w:kern w:val="0"/>
                <w:szCs w:val="21"/>
                <w:lang w:eastAsia="zh-CN" w:bidi="th-TH"/>
              </w:rPr>
              <w:t>教师</w:t>
            </w:r>
            <w:r>
              <w:rPr>
                <w:rFonts w:hint="eastAsia" w:ascii="宋体" w:hAnsi="宋体" w:cs="MicrosoftYaHei-Bold"/>
                <w:kern w:val="0"/>
                <w:szCs w:val="21"/>
                <w:lang w:bidi="th-TH"/>
              </w:rPr>
              <w:t>科研，及时更新教学</w:t>
            </w:r>
            <w:r>
              <w:rPr>
                <w:rFonts w:hint="eastAsia" w:ascii="宋体" w:hAnsi="宋体" w:cs="MicrosoftYaHei"/>
                <w:kern w:val="0"/>
                <w:szCs w:val="21"/>
                <w:lang w:bidi="th-TH"/>
              </w:rPr>
              <w:t>内容，使其具有前沿性与时代性。</w:t>
            </w:r>
          </w:p>
          <w:p>
            <w:pPr>
              <w:numPr>
                <w:ilvl w:val="0"/>
                <w:numId w:val="1"/>
              </w:numPr>
              <w:tabs>
                <w:tab w:val="left" w:pos="540"/>
                <w:tab w:val="clear" w:pos="1329"/>
              </w:tabs>
              <w:autoSpaceDE w:val="0"/>
              <w:autoSpaceDN w:val="0"/>
              <w:adjustRightInd w:val="0"/>
              <w:spacing w:line="360" w:lineRule="auto"/>
              <w:ind w:left="540"/>
              <w:jc w:val="left"/>
              <w:rPr>
                <w:szCs w:val="21"/>
              </w:rPr>
            </w:pPr>
            <w:r>
              <w:rPr>
                <w:rFonts w:ascii="宋体" w:hAnsi="宋体" w:cs="MicrosoftYaHei-Bold"/>
                <w:kern w:val="0"/>
                <w:szCs w:val="21"/>
                <w:lang w:bidi="th-TH"/>
              </w:rPr>
              <w:t xml:space="preserve">3. </w:t>
            </w:r>
            <w:r>
              <w:rPr>
                <w:rFonts w:hint="eastAsia" w:ascii="宋体" w:hAnsi="宋体" w:cs="MicrosoftYaHei"/>
                <w:kern w:val="0"/>
                <w:szCs w:val="21"/>
                <w:lang w:bidi="th-TH"/>
              </w:rPr>
              <w:t>课程设计增加研究性、创新性、综合性内容，引导学生</w:t>
            </w:r>
            <w:r>
              <w:rPr>
                <w:rFonts w:hint="eastAsia" w:ascii="宋体" w:hAnsi="宋体" w:cs="MicrosoftYaHei-Bold"/>
                <w:kern w:val="0"/>
                <w:szCs w:val="21"/>
                <w:lang w:bidi="th-TH"/>
              </w:rPr>
              <w:t>利用现代化信息技术，进行探究式和个性化学习。</w:t>
            </w:r>
          </w:p>
          <w:p>
            <w:pPr>
              <w:autoSpaceDE w:val="0"/>
              <w:autoSpaceDN w:val="0"/>
              <w:adjustRightInd w:val="0"/>
              <w:spacing w:line="360" w:lineRule="auto"/>
              <w:ind w:firstLine="525" w:firstLineChars="250"/>
              <w:jc w:val="left"/>
              <w:rPr>
                <w:szCs w:val="21"/>
              </w:rPr>
            </w:pPr>
            <w:r>
              <w:rPr>
                <w:rFonts w:hint="eastAsia"/>
                <w:szCs w:val="21"/>
              </w:rPr>
              <w:t>如讲解“有害微生物的控制”这一节时，首先采用课堂小测，将消毒、防腐、灭菌、化疗的概念引出，让学生举例说明生活中用到了哪些控制有害微生物的方式？一是加深理解基本概念，二也可了解学生预习情况。采用实际案例，让学生分析已杀菌产品为什么在保质期内发生了腐败变质，引导学生运用所学知识来分析问题、解决问题。采用新闻报道和科研实验，引出微生物抗药性产生的危害和严重性，分小组让学生讨论</w:t>
            </w:r>
            <w:r>
              <w:rPr>
                <w:rFonts w:hint="eastAsia"/>
                <w:szCs w:val="21"/>
                <w:lang w:eastAsia="zh-CN"/>
              </w:rPr>
              <w:t>分析</w:t>
            </w:r>
            <w:r>
              <w:rPr>
                <w:rFonts w:hint="eastAsia"/>
                <w:szCs w:val="21"/>
              </w:rPr>
              <w:t>引起微生物抗药性产生的机制及解决</w:t>
            </w:r>
            <w:r>
              <w:rPr>
                <w:rFonts w:hint="eastAsia"/>
                <w:szCs w:val="21"/>
                <w:lang w:eastAsia="zh-CN"/>
              </w:rPr>
              <w:t>方案</w:t>
            </w:r>
            <w:r>
              <w:rPr>
                <w:rFonts w:hint="eastAsia"/>
                <w:szCs w:val="21"/>
              </w:rPr>
              <w:t>。在整堂课上按照预先的课堂设计，老师把控难度和深度，控制节凑，有提问、有讨论，紧张有序，充分调动了学生的积极性，让每一个学生都能参其中，将老师一个人的讲台转变为学生的舞台，只有充分尊重学生，给与学生空间，变被动学习，为主动参与，才能激发学生内在动力和创新能力。课后，对于概念较多需要记忆的知识点，要求学生以思维导图的形式及时进行归纳总结、分类汇总，将脉络理清楚，</w:t>
            </w:r>
            <w:r>
              <w:rPr>
                <w:rFonts w:hint="eastAsia"/>
                <w:szCs w:val="21"/>
                <w:lang w:eastAsia="zh-CN"/>
              </w:rPr>
              <w:t>同时通过超星布置线上作业，</w:t>
            </w:r>
            <w:r>
              <w:rPr>
                <w:rFonts w:hint="eastAsia"/>
                <w:szCs w:val="21"/>
              </w:rPr>
              <w:t>再次对重点和难点进行回顾和复习</w:t>
            </w:r>
            <w:r>
              <w:rPr>
                <w:rFonts w:hint="eastAsia"/>
                <w:szCs w:val="21"/>
                <w:lang w:eastAsia="zh-CN"/>
              </w:rPr>
              <w:t>，并及时掌握学生学习情况和难点</w:t>
            </w:r>
            <w:r>
              <w:rPr>
                <w:rFonts w:hint="eastAsia"/>
                <w:szCs w:val="21"/>
              </w:rPr>
              <w:t>。</w:t>
            </w:r>
          </w:p>
          <w:p>
            <w:pPr>
              <w:autoSpaceDE w:val="0"/>
              <w:autoSpaceDN w:val="0"/>
              <w:adjustRightInd w:val="0"/>
              <w:spacing w:line="360" w:lineRule="auto"/>
              <w:ind w:firstLine="525" w:firstLineChars="250"/>
              <w:jc w:val="left"/>
              <w:rPr>
                <w:szCs w:val="21"/>
              </w:rPr>
            </w:pPr>
            <w:r>
              <w:rPr>
                <w:rFonts w:hint="eastAsia"/>
                <w:szCs w:val="21"/>
              </w:rPr>
              <w:t>要求学生充分利用网络和媒体，及时跟踪微生物前沿发展状况，并以小综述的形式进行阐述，在下次课上进行讨论，这样给学生一定的挑战性和难度。</w:t>
            </w:r>
          </w:p>
          <w:p>
            <w:pPr>
              <w:autoSpaceDE w:val="0"/>
              <w:autoSpaceDN w:val="0"/>
              <w:adjustRightInd w:val="0"/>
              <w:spacing w:line="360" w:lineRule="auto"/>
              <w:jc w:val="left"/>
              <w:rPr>
                <w:rFonts w:ascii="黑体" w:hAnsi="黑体" w:eastAsia="黑体"/>
                <w:szCs w:val="21"/>
              </w:rPr>
            </w:pPr>
            <w:r>
              <w:rPr>
                <w:rFonts w:hint="eastAsia" w:ascii="黑体" w:hAnsi="黑体" w:eastAsia="黑体" w:cs="仿宋_GB2312"/>
                <w:kern w:val="0"/>
                <w:szCs w:val="21"/>
              </w:rPr>
              <w:t>课程成绩评定方式</w:t>
            </w:r>
          </w:p>
          <w:p>
            <w:pPr>
              <w:autoSpaceDE w:val="0"/>
              <w:autoSpaceDN w:val="0"/>
              <w:adjustRightInd w:val="0"/>
              <w:spacing w:line="360" w:lineRule="auto"/>
              <w:ind w:firstLine="420" w:firstLineChars="200"/>
              <w:jc w:val="left"/>
              <w:rPr>
                <w:szCs w:val="21"/>
              </w:rPr>
            </w:pPr>
            <w:r>
              <w:rPr>
                <w:rFonts w:hint="eastAsia"/>
                <w:bCs/>
                <w:szCs w:val="21"/>
              </w:rPr>
              <w:t>课程成绩评定</w:t>
            </w:r>
            <w:r>
              <w:rPr>
                <w:rFonts w:hint="eastAsia"/>
                <w:szCs w:val="21"/>
              </w:rPr>
              <w:t>方式主要学生课前预习情况、</w:t>
            </w:r>
            <w:r>
              <w:rPr>
                <w:rFonts w:hint="eastAsia"/>
                <w:szCs w:val="21"/>
                <w:lang w:eastAsia="zh-CN"/>
              </w:rPr>
              <w:t>超星平台作业、</w:t>
            </w:r>
            <w:r>
              <w:rPr>
                <w:rFonts w:hint="eastAsia"/>
                <w:szCs w:val="21"/>
              </w:rPr>
              <w:t>学生对教学环节的微生物利用案例的读书报告</w:t>
            </w:r>
            <w:r>
              <w:rPr>
                <w:rFonts w:hint="eastAsia"/>
                <w:szCs w:val="21"/>
                <w:lang w:eastAsia="zh-CN"/>
              </w:rPr>
              <w:t>和综述小论文</w:t>
            </w:r>
            <w:r>
              <w:rPr>
                <w:rFonts w:hint="eastAsia"/>
                <w:szCs w:val="21"/>
              </w:rPr>
              <w:t>、</w:t>
            </w:r>
            <w:r>
              <w:rPr>
                <w:rFonts w:hint="eastAsia"/>
                <w:szCs w:val="21"/>
                <w:lang w:eastAsia="zh-CN"/>
              </w:rPr>
              <w:t>中期和</w:t>
            </w:r>
            <w:r>
              <w:rPr>
                <w:rFonts w:hint="eastAsia"/>
                <w:szCs w:val="21"/>
              </w:rPr>
              <w:t>期末考试相结合的综合考核方式。</w:t>
            </w:r>
          </w:p>
          <w:p>
            <w:pPr>
              <w:autoSpaceDE w:val="0"/>
              <w:autoSpaceDN w:val="0"/>
              <w:adjustRightInd w:val="0"/>
              <w:spacing w:line="360" w:lineRule="auto"/>
              <w:jc w:val="left"/>
              <w:rPr>
                <w:rFonts w:ascii="黑体" w:hAnsi="黑体" w:eastAsia="黑体"/>
                <w:szCs w:val="21"/>
              </w:rPr>
            </w:pPr>
            <w:r>
              <w:rPr>
                <w:rFonts w:hint="eastAsia" w:ascii="黑体" w:hAnsi="黑体" w:eastAsia="黑体" w:cs="仿宋_GB2312"/>
                <w:kern w:val="0"/>
                <w:szCs w:val="21"/>
              </w:rPr>
              <w:t>课程评价及改革成效等情况</w:t>
            </w:r>
          </w:p>
          <w:p>
            <w:pPr>
              <w:spacing w:line="360" w:lineRule="auto"/>
              <w:ind w:firstLine="420" w:firstLineChars="200"/>
              <w:rPr>
                <w:rFonts w:ascii="仿宋_GB2312" w:hAnsi="仿宋_GB2312" w:eastAsia="仿宋_GB2312" w:cs="仿宋_GB2312"/>
                <w:kern w:val="0"/>
                <w:sz w:val="24"/>
                <w:szCs w:val="24"/>
              </w:rPr>
            </w:pPr>
            <w:r>
              <w:rPr>
                <w:rFonts w:hint="eastAsia" w:ascii="宋体" w:hAnsi="宋体"/>
                <w:bCs/>
                <w:szCs w:val="21"/>
              </w:rPr>
              <w:t>教学组成员车振明获得全国优秀教师称号、四川省教学名师、四川省优秀教学成果奖，焦士蓉与饶瑜获得西华大学教学优秀奖等荣誉。</w:t>
            </w:r>
            <w:r>
              <w:rPr>
                <w:rFonts w:hint="eastAsia"/>
                <w:szCs w:val="21"/>
              </w:rPr>
              <w:t>学生对教学的满意度高，近五年学生评教</w:t>
            </w:r>
            <w:r>
              <w:rPr>
                <w:szCs w:val="21"/>
              </w:rPr>
              <w:t>4.89</w:t>
            </w:r>
            <w:r>
              <w:rPr>
                <w:rFonts w:hint="eastAsia"/>
                <w:szCs w:val="21"/>
              </w:rPr>
              <w:t>分（</w:t>
            </w:r>
            <w:r>
              <w:rPr>
                <w:szCs w:val="21"/>
              </w:rPr>
              <w:t>5</w:t>
            </w:r>
            <w:r>
              <w:rPr>
                <w:rFonts w:hint="eastAsia"/>
                <w:szCs w:val="21"/>
              </w:rPr>
              <w:t>分满分）。</w:t>
            </w:r>
            <w:r>
              <w:rPr>
                <w:rFonts w:ascii="宋体" w:hAnsi="宋体"/>
                <w:bCs/>
                <w:szCs w:val="21"/>
              </w:rPr>
              <w:t>MYCOS</w:t>
            </w:r>
            <w:r>
              <w:rPr>
                <w:rFonts w:hint="eastAsia" w:ascii="宋体" w:hAnsi="宋体"/>
                <w:bCs/>
                <w:szCs w:val="21"/>
              </w:rPr>
              <w:t>评价课程满意度为</w:t>
            </w:r>
            <w:r>
              <w:rPr>
                <w:rFonts w:ascii="宋体" w:hAnsi="宋体"/>
                <w:bCs/>
                <w:szCs w:val="21"/>
              </w:rPr>
              <w:t>100%</w:t>
            </w:r>
            <w:r>
              <w:rPr>
                <w:rFonts w:hint="eastAsia" w:ascii="宋体" w:hAnsi="宋体"/>
                <w:bCs/>
                <w:szCs w:val="21"/>
              </w:rPr>
              <w:t>。</w:t>
            </w:r>
            <w:r>
              <w:rPr>
                <w:rFonts w:hint="eastAsia"/>
                <w:szCs w:val="21"/>
              </w:rPr>
              <w:t>学生学习效果显著提高，近两年教学班成绩平均分均在</w:t>
            </w:r>
            <w:r>
              <w:rPr>
                <w:szCs w:val="21"/>
              </w:rPr>
              <w:t>80</w:t>
            </w:r>
            <w:r>
              <w:rPr>
                <w:rFonts w:hint="eastAsia"/>
                <w:szCs w:val="21"/>
              </w:rPr>
              <w:t>分左右。学生的考研率高，其中选用微生物学作为考试科目的同学多。近年来学生获得国家级、省级和校级大赛获奖人数逐年增加，</w:t>
            </w:r>
            <w:r>
              <w:rPr>
                <w:szCs w:val="21"/>
              </w:rPr>
              <w:t>2019</w:t>
            </w:r>
            <w:r>
              <w:rPr>
                <w:rFonts w:hint="eastAsia"/>
                <w:szCs w:val="21"/>
              </w:rPr>
              <w:t>年获得国家、省级和校级竞赛奖人数达到</w:t>
            </w:r>
            <w:r>
              <w:rPr>
                <w:szCs w:val="21"/>
              </w:rPr>
              <w:t>194</w:t>
            </w:r>
            <w:r>
              <w:rPr>
                <w:rFonts w:hint="eastAsia"/>
                <w:szCs w:val="21"/>
              </w:rPr>
              <w:t>人。</w:t>
            </w: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60" w:lineRule="auto"/>
              <w:ind w:firstLine="420" w:firstLineChars="200"/>
              <w:rPr>
                <w:rFonts w:hint="eastAsia"/>
                <w:szCs w:val="21"/>
                <w:lang w:val="en-US" w:eastAsia="zh-CN"/>
              </w:rPr>
            </w:pPr>
            <w:r>
              <w:rPr>
                <w:rFonts w:hint="eastAsia"/>
                <w:szCs w:val="21"/>
                <w:lang w:val="en-US" w:eastAsia="zh-CN"/>
              </w:rPr>
              <w:t>采用6E教学模式，</w:t>
            </w:r>
            <w:r>
              <w:rPr>
                <w:rFonts w:hint="eastAsia"/>
                <w:szCs w:val="21"/>
              </w:rPr>
              <w:t>坚持立德树人，课程思政，以学生发展为中心，</w:t>
            </w:r>
            <w:r>
              <w:rPr>
                <w:rFonts w:hint="eastAsia"/>
                <w:szCs w:val="21"/>
                <w:lang w:val="en-US" w:eastAsia="zh-CN"/>
              </w:rPr>
              <w:t>通过导入、探索、解释、拓展、细化、评估，</w:t>
            </w:r>
            <w:r>
              <w:rPr>
                <w:rFonts w:hint="eastAsia"/>
                <w:szCs w:val="21"/>
              </w:rPr>
              <w:t>致力于开启学生内在潜力和学习动力</w:t>
            </w:r>
            <w:r>
              <w:rPr>
                <w:rFonts w:hint="eastAsia"/>
                <w:szCs w:val="21"/>
                <w:lang w:eastAsia="zh-CN"/>
              </w:rPr>
              <w:t>。</w:t>
            </w:r>
          </w:p>
          <w:p>
            <w:pPr>
              <w:spacing w:line="360" w:lineRule="auto"/>
              <w:ind w:firstLine="420" w:firstLineChars="200"/>
              <w:rPr>
                <w:rFonts w:hint="eastAsia"/>
                <w:szCs w:val="21"/>
                <w:lang w:val="en-US" w:eastAsia="zh-CN"/>
              </w:rPr>
            </w:pPr>
            <w:r>
              <w:rPr>
                <w:rFonts w:hint="eastAsia"/>
                <w:szCs w:val="21"/>
                <w:lang w:val="en-US" w:eastAsia="zh-CN"/>
              </w:rPr>
              <w:t>通过教-学-练-测-评环状螺旋上升的的教学方法，培养学生批判性思维、沟通能力、团队协作能力和创新思维能力。</w:t>
            </w:r>
          </w:p>
          <w:p>
            <w:pPr>
              <w:spacing w:line="360" w:lineRule="auto"/>
              <w:ind w:firstLine="420" w:firstLineChars="200"/>
              <w:rPr>
                <w:rFonts w:hint="eastAsia"/>
                <w:szCs w:val="21"/>
                <w:lang w:val="en-US" w:eastAsia="zh-CN"/>
              </w:rPr>
            </w:pPr>
            <w:r>
              <w:rPr>
                <w:rFonts w:hint="eastAsia"/>
                <w:szCs w:val="21"/>
                <w:lang w:val="en-US" w:eastAsia="zh-CN"/>
              </w:rPr>
              <w:t>教：团队有优质师资，选用最新版的对标一流课程的专业优秀教材。主讲教师</w:t>
            </w:r>
            <w:r>
              <w:rPr>
                <w:rFonts w:hint="eastAsia"/>
                <w:szCs w:val="21"/>
              </w:rPr>
              <w:t>将信息技术与课堂教学相融合，以提升学生综合能力为目标，重塑课堂内容，</w:t>
            </w:r>
            <w:r>
              <w:rPr>
                <w:rFonts w:hint="eastAsia"/>
                <w:szCs w:val="21"/>
                <w:lang w:eastAsia="zh-CN"/>
              </w:rPr>
              <w:t>精心设计，</w:t>
            </w:r>
            <w:r>
              <w:rPr>
                <w:rFonts w:hint="eastAsia"/>
                <w:szCs w:val="21"/>
              </w:rPr>
              <w:t>将一般知识以作业和课外阅读的方式留给学生，课上集中讲解难点、重点和前沿动态</w:t>
            </w:r>
            <w:r>
              <w:rPr>
                <w:rFonts w:hint="eastAsia"/>
                <w:szCs w:val="21"/>
                <w:lang w:eastAsia="zh-CN"/>
              </w:rPr>
              <w:t>发展</w:t>
            </w:r>
            <w:r>
              <w:rPr>
                <w:rFonts w:hint="eastAsia"/>
                <w:szCs w:val="21"/>
              </w:rPr>
              <w:t>，鼓励学生，独立思考，大胆质疑，勇于创新的精神和能力。</w:t>
            </w:r>
          </w:p>
          <w:p>
            <w:pPr>
              <w:spacing w:line="360" w:lineRule="auto"/>
              <w:ind w:firstLine="420" w:firstLineChars="200"/>
              <w:rPr>
                <w:rFonts w:hint="eastAsia"/>
                <w:szCs w:val="21"/>
              </w:rPr>
            </w:pPr>
            <w:r>
              <w:rPr>
                <w:rFonts w:hint="eastAsia"/>
                <w:szCs w:val="21"/>
                <w:lang w:val="en-US" w:eastAsia="zh-CN"/>
              </w:rPr>
              <w:t>学：课前预习+强互动教学。采用超星等在线数据平台，让学生在课前预习，带着疑问来课堂，和老师进行互动，使课堂有更多的知识的输出与碰撞，提升学生表达能力、问题思考及分析能力，提高学生的课堂参与感和成就感。</w:t>
            </w:r>
          </w:p>
          <w:p>
            <w:pPr>
              <w:spacing w:line="360" w:lineRule="auto"/>
              <w:ind w:firstLine="420" w:firstLineChars="200"/>
              <w:rPr>
                <w:rFonts w:hint="eastAsia"/>
                <w:szCs w:val="21"/>
                <w:lang w:val="en-US" w:eastAsia="zh-CN"/>
              </w:rPr>
            </w:pPr>
            <w:r>
              <w:rPr>
                <w:rFonts w:hint="eastAsia"/>
                <w:szCs w:val="21"/>
                <w:lang w:val="en-US" w:eastAsia="zh-CN"/>
              </w:rPr>
              <w:t>练：全面练习强巩固。课后习题、章节思维导图、综述小论文、读书报告等拓展知识和视野。</w:t>
            </w:r>
          </w:p>
          <w:p>
            <w:pPr>
              <w:spacing w:line="360" w:lineRule="auto"/>
              <w:ind w:firstLine="420" w:firstLineChars="200"/>
              <w:rPr>
                <w:rFonts w:hint="eastAsia"/>
                <w:szCs w:val="21"/>
                <w:lang w:val="en-US" w:eastAsia="zh-CN"/>
              </w:rPr>
            </w:pPr>
            <w:r>
              <w:rPr>
                <w:rFonts w:hint="eastAsia"/>
                <w:szCs w:val="21"/>
                <w:lang w:val="en-US" w:eastAsia="zh-CN"/>
              </w:rPr>
              <w:t>测：对学习效果进行定期检测，是体现教学目标是否达成的重要教学环节，并对知识点、难点进行总结和归纳，为下一阶段的学习提供指导。</w:t>
            </w:r>
          </w:p>
          <w:p>
            <w:pPr>
              <w:spacing w:line="360" w:lineRule="auto"/>
              <w:ind w:firstLine="420" w:firstLineChars="200"/>
              <w:rPr>
                <w:kern w:val="0"/>
                <w:sz w:val="24"/>
                <w:szCs w:val="24"/>
              </w:rPr>
            </w:pPr>
            <w:r>
              <w:rPr>
                <w:rFonts w:hint="eastAsia"/>
                <w:szCs w:val="21"/>
                <w:lang w:val="en-US" w:eastAsia="zh-CN"/>
              </w:rPr>
              <w:t>评：多维度学习效果反馈。通过超星平台作业、</w:t>
            </w:r>
            <w:bookmarkStart w:id="0" w:name="_GoBack"/>
            <w:bookmarkEnd w:id="0"/>
            <w:r>
              <w:rPr>
                <w:rFonts w:hint="eastAsia"/>
                <w:szCs w:val="21"/>
                <w:lang w:val="en-US" w:eastAsia="zh-CN"/>
              </w:rPr>
              <w:t>期中考试、读书报告、学习总结，课堂讨论等进行测评并进行反馈，对学生进行针对性的指导，加强重点、难点问题的讲解和讨论并持续改进教学方法，以期达到好的教学目标。</w:t>
            </w: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spacing w:line="360" w:lineRule="auto"/>
              <w:rPr>
                <w:rFonts w:ascii="宋体"/>
                <w:kern w:val="0"/>
                <w:szCs w:val="21"/>
              </w:rPr>
            </w:pPr>
            <w:r>
              <w:rPr>
                <w:rFonts w:hint="eastAsia" w:ascii="宋体" w:hAnsi="宋体" w:cs="仿宋_GB2312"/>
                <w:kern w:val="0"/>
                <w:szCs w:val="21"/>
              </w:rPr>
              <w:t>围绕解决课程与教学改革要解决的重点问题</w:t>
            </w:r>
            <w:r>
              <w:rPr>
                <w:rFonts w:hint="eastAsia" w:ascii="宋体" w:hAnsi="宋体" w:cs="仿宋_GB2312"/>
                <w:b/>
                <w:bCs/>
                <w:kern w:val="0"/>
                <w:szCs w:val="21"/>
              </w:rPr>
              <w:t>：</w:t>
            </w:r>
          </w:p>
          <w:p>
            <w:pPr>
              <w:spacing w:line="360" w:lineRule="auto"/>
              <w:ind w:firstLine="480"/>
              <w:rPr>
                <w:rFonts w:ascii="宋体"/>
                <w:szCs w:val="21"/>
              </w:rPr>
            </w:pPr>
            <w:r>
              <w:rPr>
                <w:rFonts w:hint="eastAsia" w:ascii="宋体" w:hAnsi="宋体"/>
                <w:szCs w:val="21"/>
              </w:rPr>
              <w:t>（</w:t>
            </w:r>
            <w:r>
              <w:rPr>
                <w:rFonts w:ascii="宋体" w:hAnsi="宋体"/>
                <w:szCs w:val="21"/>
              </w:rPr>
              <w:t>1</w:t>
            </w:r>
            <w:r>
              <w:rPr>
                <w:rFonts w:hint="eastAsia" w:ascii="宋体" w:hAnsi="宋体"/>
                <w:szCs w:val="21"/>
              </w:rPr>
              <w:t>）优化构建微生物课程教学大纲、教案、实验指导、教材、参考文献、网络课件、习题等课程教学资源，结合培养目标进一步合理整合一线教学储备资源。加强课程课下辅助教学和补充，提高教学课程质量。</w:t>
            </w:r>
          </w:p>
          <w:p>
            <w:pPr>
              <w:spacing w:line="360" w:lineRule="auto"/>
              <w:ind w:firstLine="480"/>
              <w:rPr>
                <w:rFonts w:ascii="宋体"/>
                <w:szCs w:val="21"/>
              </w:rPr>
            </w:pPr>
            <w:r>
              <w:rPr>
                <w:rFonts w:hint="eastAsia" w:ascii="宋体" w:hAnsi="宋体"/>
                <w:szCs w:val="21"/>
              </w:rPr>
              <w:t>（</w:t>
            </w:r>
            <w:r>
              <w:rPr>
                <w:rFonts w:ascii="宋体" w:hAnsi="宋体"/>
                <w:szCs w:val="21"/>
              </w:rPr>
              <w:t>2</w:t>
            </w:r>
            <w:r>
              <w:rPr>
                <w:rFonts w:hint="eastAsia" w:ascii="宋体" w:hAnsi="宋体"/>
                <w:szCs w:val="21"/>
              </w:rPr>
              <w:t>）搭建适合于学生自主学习和解决复杂食品安全问题的网络教学共享平台和学习交流渠道。进一步推进微生物优质课程资源开发、普及和共享。构建利于学生多元化自主学习的环境。</w:t>
            </w:r>
          </w:p>
          <w:p>
            <w:pPr>
              <w:spacing w:line="360" w:lineRule="auto"/>
              <w:ind w:firstLine="480"/>
              <w:rPr>
                <w:rFonts w:ascii="宋体"/>
                <w:szCs w:val="21"/>
              </w:rPr>
            </w:pPr>
            <w:r>
              <w:rPr>
                <w:rFonts w:hint="eastAsia" w:ascii="宋体" w:hAnsi="宋体"/>
                <w:szCs w:val="21"/>
              </w:rPr>
              <w:t>（</w:t>
            </w:r>
            <w:r>
              <w:rPr>
                <w:rFonts w:ascii="宋体" w:hAnsi="宋体"/>
                <w:szCs w:val="21"/>
              </w:rPr>
              <w:t>3</w:t>
            </w:r>
            <w:r>
              <w:rPr>
                <w:rFonts w:hint="eastAsia" w:ascii="宋体" w:hAnsi="宋体"/>
                <w:szCs w:val="21"/>
              </w:rPr>
              <w:t>）优化微生物精品课程学教师队伍建设，培训年轻教师承担课程讲授，教材编写、课件制作，提高课程的教育资源人才储备。</w:t>
            </w:r>
          </w:p>
          <w:p>
            <w:pPr>
              <w:pStyle w:val="10"/>
              <w:spacing w:line="360" w:lineRule="auto"/>
              <w:ind w:firstLine="420" w:firstLineChars="200"/>
              <w:rPr>
                <w:kern w:val="0"/>
                <w:sz w:val="24"/>
                <w:szCs w:val="24"/>
              </w:rPr>
            </w:pPr>
            <w:r>
              <w:rPr>
                <w:rFonts w:hint="eastAsia" w:ascii="宋体" w:hAnsi="宋体"/>
                <w:szCs w:val="21"/>
              </w:rPr>
              <w:t>（</w:t>
            </w:r>
            <w:r>
              <w:rPr>
                <w:rFonts w:ascii="宋体" w:hAnsi="宋体"/>
                <w:szCs w:val="21"/>
              </w:rPr>
              <w:t>4</w:t>
            </w:r>
            <w:r>
              <w:rPr>
                <w:rFonts w:hint="eastAsia" w:ascii="宋体" w:hAnsi="宋体"/>
                <w:szCs w:val="21"/>
              </w:rPr>
              <w:t>）积极推动微生物精品课程的示范和辐射作用，增加企业实际案例的选题和内容讲授，促进课程理论与社会需求实际问题的碰撞结合。促进学生创新解决能力的提高。</w:t>
            </w: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roman"/>
    <w:pitch w:val="default"/>
    <w:sig w:usb0="00000000" w:usb1="00000000" w:usb2="00000000"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MicrosoftYaHei">
    <w:altName w:val="宋体"/>
    <w:panose1 w:val="00000000000000000000"/>
    <w:charset w:val="86"/>
    <w:family w:val="auto"/>
    <w:pitch w:val="default"/>
    <w:sig w:usb0="00000000" w:usb1="00000000" w:usb2="00000010" w:usb3="00000000" w:csb0="00040000" w:csb1="00000000"/>
  </w:font>
  <w:font w:name="MicrosoftYaHei-Bold">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5DB7"/>
    <w:multiLevelType w:val="multilevel"/>
    <w:tmpl w:val="05F35DB7"/>
    <w:lvl w:ilvl="0" w:tentative="0">
      <w:start w:val="1"/>
      <w:numFmt w:val="decimal"/>
      <w:lvlText w:val="%1."/>
      <w:lvlJc w:val="left"/>
      <w:pPr>
        <w:tabs>
          <w:tab w:val="left" w:pos="1329"/>
        </w:tabs>
        <w:ind w:left="1329" w:hanging="804"/>
      </w:pPr>
      <w:rPr>
        <w:rFonts w:ascii="Times New Roman" w:hAnsi="Times New Roman" w:eastAsia="Times New Roman" w:cs="Times New Roman"/>
      </w:rPr>
    </w:lvl>
    <w:lvl w:ilvl="1" w:tentative="0">
      <w:start w:val="1"/>
      <w:numFmt w:val="lowerLetter"/>
      <w:lvlText w:val="%2)"/>
      <w:lvlJc w:val="left"/>
      <w:pPr>
        <w:tabs>
          <w:tab w:val="left" w:pos="1365"/>
        </w:tabs>
        <w:ind w:left="1365" w:hanging="420"/>
      </w:pPr>
      <w:rPr>
        <w:rFonts w:cs="Times New Roman"/>
      </w:rPr>
    </w:lvl>
    <w:lvl w:ilvl="2" w:tentative="0">
      <w:start w:val="1"/>
      <w:numFmt w:val="lowerRoman"/>
      <w:lvlText w:val="%3."/>
      <w:lvlJc w:val="right"/>
      <w:pPr>
        <w:tabs>
          <w:tab w:val="left" w:pos="1785"/>
        </w:tabs>
        <w:ind w:left="1785" w:hanging="420"/>
      </w:pPr>
      <w:rPr>
        <w:rFonts w:cs="Times New Roman"/>
      </w:rPr>
    </w:lvl>
    <w:lvl w:ilvl="3" w:tentative="0">
      <w:start w:val="1"/>
      <w:numFmt w:val="decimal"/>
      <w:lvlText w:val="%4."/>
      <w:lvlJc w:val="left"/>
      <w:pPr>
        <w:tabs>
          <w:tab w:val="left" w:pos="2205"/>
        </w:tabs>
        <w:ind w:left="2205" w:hanging="420"/>
      </w:pPr>
      <w:rPr>
        <w:rFonts w:cs="Times New Roman"/>
      </w:rPr>
    </w:lvl>
    <w:lvl w:ilvl="4" w:tentative="0">
      <w:start w:val="1"/>
      <w:numFmt w:val="lowerLetter"/>
      <w:lvlText w:val="%5)"/>
      <w:lvlJc w:val="left"/>
      <w:pPr>
        <w:tabs>
          <w:tab w:val="left" w:pos="2625"/>
        </w:tabs>
        <w:ind w:left="2625" w:hanging="420"/>
      </w:pPr>
      <w:rPr>
        <w:rFonts w:cs="Times New Roman"/>
      </w:rPr>
    </w:lvl>
    <w:lvl w:ilvl="5" w:tentative="0">
      <w:start w:val="1"/>
      <w:numFmt w:val="lowerRoman"/>
      <w:lvlText w:val="%6."/>
      <w:lvlJc w:val="right"/>
      <w:pPr>
        <w:tabs>
          <w:tab w:val="left" w:pos="3045"/>
        </w:tabs>
        <w:ind w:left="3045" w:hanging="420"/>
      </w:pPr>
      <w:rPr>
        <w:rFonts w:cs="Times New Roman"/>
      </w:rPr>
    </w:lvl>
    <w:lvl w:ilvl="6" w:tentative="0">
      <w:start w:val="1"/>
      <w:numFmt w:val="decimal"/>
      <w:lvlText w:val="%7."/>
      <w:lvlJc w:val="left"/>
      <w:pPr>
        <w:tabs>
          <w:tab w:val="left" w:pos="3465"/>
        </w:tabs>
        <w:ind w:left="3465" w:hanging="420"/>
      </w:pPr>
      <w:rPr>
        <w:rFonts w:cs="Times New Roman"/>
      </w:rPr>
    </w:lvl>
    <w:lvl w:ilvl="7" w:tentative="0">
      <w:start w:val="1"/>
      <w:numFmt w:val="lowerLetter"/>
      <w:lvlText w:val="%8)"/>
      <w:lvlJc w:val="left"/>
      <w:pPr>
        <w:tabs>
          <w:tab w:val="left" w:pos="3885"/>
        </w:tabs>
        <w:ind w:left="3885" w:hanging="420"/>
      </w:pPr>
      <w:rPr>
        <w:rFonts w:cs="Times New Roman"/>
      </w:rPr>
    </w:lvl>
    <w:lvl w:ilvl="8" w:tentative="0">
      <w:start w:val="1"/>
      <w:numFmt w:val="lowerRoman"/>
      <w:lvlText w:val="%9."/>
      <w:lvlJc w:val="right"/>
      <w:pPr>
        <w:tabs>
          <w:tab w:val="left" w:pos="4305"/>
        </w:tabs>
        <w:ind w:left="4305"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27CE8"/>
    <w:rsid w:val="00030CB8"/>
    <w:rsid w:val="000F4CA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1F6A0574"/>
    <w:rsid w:val="2411589B"/>
    <w:rsid w:val="29A71277"/>
    <w:rsid w:val="2BB510BB"/>
    <w:rsid w:val="2BE723E4"/>
    <w:rsid w:val="2C7B64E1"/>
    <w:rsid w:val="2C8B22E8"/>
    <w:rsid w:val="3A6B49A6"/>
    <w:rsid w:val="3C5B0394"/>
    <w:rsid w:val="3CBD0FAA"/>
    <w:rsid w:val="40F31A23"/>
    <w:rsid w:val="43E206B9"/>
    <w:rsid w:val="458A59D1"/>
    <w:rsid w:val="45B700D9"/>
    <w:rsid w:val="46A807DC"/>
    <w:rsid w:val="475C6768"/>
    <w:rsid w:val="487653C1"/>
    <w:rsid w:val="4AD20A29"/>
    <w:rsid w:val="4BBC4ECC"/>
    <w:rsid w:val="54A43981"/>
    <w:rsid w:val="56251808"/>
    <w:rsid w:val="5A8D7E52"/>
    <w:rsid w:val="60A1277A"/>
    <w:rsid w:val="615E43C0"/>
    <w:rsid w:val="61820A3D"/>
    <w:rsid w:val="62DD558F"/>
    <w:rsid w:val="64AD4B31"/>
    <w:rsid w:val="64C41FE1"/>
    <w:rsid w:val="673502CD"/>
    <w:rsid w:val="67DD4550"/>
    <w:rsid w:val="6BFA460D"/>
    <w:rsid w:val="6C50733D"/>
    <w:rsid w:val="6D667C82"/>
    <w:rsid w:val="720B6D64"/>
    <w:rsid w:val="723230F4"/>
    <w:rsid w:val="78240DDA"/>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qFormat/>
    <w:uiPriority w:val="99"/>
  </w:style>
  <w:style w:type="character" w:customStyle="1" w:styleId="14">
    <w:name w:val="批注主题 字符"/>
    <w:basedOn w:val="13"/>
    <w:link w:val="6"/>
    <w:qFormat/>
    <w:uiPriority w:val="99"/>
    <w:rPr>
      <w:b/>
      <w:bCs/>
      <w:kern w:val="2"/>
      <w:sz w:val="21"/>
      <w:szCs w:val="22"/>
    </w:rPr>
  </w:style>
  <w:style w:type="character" w:customStyle="1" w:styleId="15">
    <w:name w:val="批注框文本 字符"/>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508CFB-8E6B-40C8-BCE0-8B4EA186397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356</Words>
  <Characters>2030</Characters>
  <Lines>16</Lines>
  <Paragraphs>4</Paragraphs>
  <TotalTime>14</TotalTime>
  <ScaleCrop>false</ScaleCrop>
  <LinksUpToDate>false</LinksUpToDate>
  <CharactersWithSpaces>2382</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焦世蓉</cp:lastModifiedBy>
  <dcterms:modified xsi:type="dcterms:W3CDTF">2021-05-18T06:43:05Z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4E3396840D2C4B79AE29586CEAEFB653</vt:lpwstr>
  </property>
</Properties>
</file>